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6766F">
      <w:pPr>
        <w:spacing w:line="600" w:lineRule="exact"/>
        <w:jc w:val="both"/>
        <w:rPr>
          <w:rFonts w:eastAsia="方正小标宋简体" w:cs="Times New Roman"/>
          <w:bCs/>
          <w:color w:val="auto"/>
          <w:sz w:val="40"/>
          <w:szCs w:val="40"/>
          <w:lang w:eastAsia="zh-CN"/>
        </w:rPr>
      </w:pPr>
      <w:bookmarkStart w:id="0" w:name="OLE_LINK1"/>
      <w:r>
        <w:rPr>
          <w:rFonts w:hint="eastAsia" w:ascii="黑体" w:hAnsi="黑体" w:eastAsia="黑体" w:cs="黑体"/>
          <w:bCs/>
          <w:color w:val="auto"/>
          <w:sz w:val="32"/>
          <w:szCs w:val="32"/>
          <w:lang w:eastAsia="zh-CN"/>
        </w:rPr>
        <w:t>附件2</w:t>
      </w:r>
      <w:r>
        <w:rPr>
          <w:rFonts w:hint="eastAsia" w:eastAsia="方正小标宋简体" w:cs="Times New Roman"/>
          <w:bCs/>
          <w:color w:val="auto"/>
          <w:sz w:val="40"/>
          <w:szCs w:val="40"/>
          <w:lang w:eastAsia="zh-CN"/>
        </w:rPr>
        <w:br w:type="textWrapping"/>
      </w:r>
    </w:p>
    <w:p w14:paraId="7ACA646D">
      <w:pPr>
        <w:spacing w:line="580" w:lineRule="exact"/>
        <w:jc w:val="center"/>
        <w:rPr>
          <w:rFonts w:hint="eastAsia" w:ascii="方正小标宋简体" w:hAnsi="黑体" w:eastAsia="方正小标宋简体"/>
          <w:color w:val="auto"/>
          <w:sz w:val="44"/>
          <w:szCs w:val="44"/>
          <w:lang w:eastAsia="zh-CN"/>
        </w:rPr>
      </w:pPr>
      <w:bookmarkStart w:id="1" w:name="_Hlk520710170"/>
      <w:bookmarkEnd w:id="1"/>
      <w:r>
        <w:rPr>
          <w:rFonts w:hint="eastAsia" w:ascii="方正小标宋简体" w:hAnsi="黑体" w:eastAsia="方正小标宋简体"/>
          <w:color w:val="auto"/>
          <w:sz w:val="44"/>
          <w:szCs w:val="44"/>
          <w:lang w:eastAsia="zh-CN"/>
        </w:rPr>
        <w:t>2025年深圳技能大赛—盐田区工程机械</w:t>
      </w:r>
    </w:p>
    <w:p w14:paraId="417B9D36">
      <w:pPr>
        <w:spacing w:line="580" w:lineRule="exact"/>
        <w:jc w:val="center"/>
        <w:rPr>
          <w:rFonts w:hint="eastAsia" w:ascii="方正小标宋简体" w:hAnsi="黑体" w:eastAsia="方正小标宋简体"/>
          <w:color w:val="auto"/>
          <w:sz w:val="44"/>
          <w:szCs w:val="44"/>
          <w:lang w:eastAsia="zh-CN"/>
        </w:rPr>
      </w:pPr>
      <w:r>
        <w:rPr>
          <w:rFonts w:hint="eastAsia" w:ascii="方正小标宋简体" w:hAnsi="黑体" w:eastAsia="方正小标宋简体"/>
          <w:color w:val="auto"/>
          <w:sz w:val="44"/>
          <w:szCs w:val="44"/>
          <w:lang w:eastAsia="zh-CN"/>
        </w:rPr>
        <w:t>维修工（港口起重机械）</w:t>
      </w:r>
    </w:p>
    <w:p w14:paraId="3E4B04F2">
      <w:pPr>
        <w:spacing w:line="580" w:lineRule="exact"/>
        <w:jc w:val="center"/>
        <w:rPr>
          <w:rFonts w:hint="eastAsia" w:ascii="黑体" w:hAnsi="黑体" w:eastAsia="黑体" w:cs="方正小标宋简体"/>
          <w:color w:val="auto"/>
          <w:sz w:val="36"/>
          <w:szCs w:val="36"/>
          <w:lang w:eastAsia="zh-CN"/>
        </w:rPr>
      </w:pPr>
      <w:r>
        <w:rPr>
          <w:rFonts w:hint="eastAsia" w:ascii="方正小标宋简体" w:hAnsi="黑体" w:eastAsia="方正小标宋简体"/>
          <w:color w:val="auto"/>
          <w:sz w:val="44"/>
          <w:szCs w:val="44"/>
          <w:lang w:eastAsia="zh-CN"/>
        </w:rPr>
        <w:t>职业技能竞赛技术文件</w:t>
      </w:r>
    </w:p>
    <w:p w14:paraId="5F099A12">
      <w:pPr>
        <w:pStyle w:val="5"/>
        <w:rPr>
          <w:rFonts w:eastAsiaTheme="minorEastAsia"/>
          <w:lang w:eastAsia="zh-CN"/>
        </w:rPr>
      </w:pPr>
    </w:p>
    <w:p w14:paraId="0E687C6F">
      <w:pPr>
        <w:spacing w:line="560" w:lineRule="exact"/>
        <w:jc w:val="center"/>
        <w:rPr>
          <w:rFonts w:hint="eastAsia" w:ascii="方正小标宋简体" w:hAnsi="黑体" w:eastAsia="方正小标宋简体"/>
          <w:sz w:val="44"/>
          <w:szCs w:val="44"/>
          <w:lang w:eastAsia="zh-CN"/>
        </w:rPr>
      </w:pPr>
    </w:p>
    <w:p w14:paraId="597A6445">
      <w:pPr>
        <w:pStyle w:val="9"/>
        <w:rPr>
          <w:rFonts w:ascii="Times New Roman" w:hAnsi="Times New Roman" w:eastAsia="微软雅黑" w:cs="Times New Roman"/>
          <w:color w:val="auto"/>
          <w:lang w:eastAsia="zh-CN"/>
        </w:rPr>
      </w:pPr>
    </w:p>
    <w:p w14:paraId="4765A2E0">
      <w:pPr>
        <w:spacing w:line="580" w:lineRule="exact"/>
        <w:rPr>
          <w:rFonts w:hint="eastAsia" w:ascii="黑体" w:hAnsi="黑体" w:eastAsia="黑体" w:cs="黑体"/>
          <w:sz w:val="32"/>
          <w:szCs w:val="32"/>
          <w:lang w:eastAsia="zh-CN"/>
        </w:rPr>
      </w:pPr>
    </w:p>
    <w:p w14:paraId="2126563A">
      <w:pPr>
        <w:spacing w:line="580" w:lineRule="exact"/>
        <w:rPr>
          <w:rFonts w:hint="eastAsia" w:ascii="黑体" w:hAnsi="黑体" w:eastAsia="黑体" w:cs="黑体"/>
          <w:sz w:val="32"/>
          <w:szCs w:val="32"/>
          <w:lang w:eastAsia="zh-CN"/>
        </w:rPr>
      </w:pPr>
    </w:p>
    <w:p w14:paraId="56C6A34B">
      <w:pPr>
        <w:spacing w:line="580" w:lineRule="exact"/>
        <w:rPr>
          <w:rFonts w:hint="eastAsia" w:ascii="黑体" w:hAnsi="黑体" w:eastAsia="黑体" w:cs="黑体"/>
          <w:sz w:val="32"/>
          <w:szCs w:val="32"/>
          <w:lang w:eastAsia="zh-CN"/>
        </w:rPr>
      </w:pPr>
    </w:p>
    <w:p w14:paraId="1D73653E">
      <w:pPr>
        <w:spacing w:line="580" w:lineRule="exact"/>
        <w:rPr>
          <w:rFonts w:hint="eastAsia" w:ascii="黑体" w:hAnsi="黑体" w:eastAsia="黑体" w:cs="黑体"/>
          <w:sz w:val="32"/>
          <w:szCs w:val="32"/>
          <w:lang w:eastAsia="zh-CN"/>
        </w:rPr>
      </w:pPr>
    </w:p>
    <w:p w14:paraId="6EFFABB3">
      <w:pPr>
        <w:spacing w:line="580" w:lineRule="exact"/>
        <w:rPr>
          <w:rFonts w:hint="eastAsia" w:ascii="黑体" w:hAnsi="黑体" w:eastAsia="黑体" w:cs="黑体"/>
          <w:sz w:val="32"/>
          <w:szCs w:val="32"/>
          <w:lang w:eastAsia="zh-CN"/>
        </w:rPr>
      </w:pPr>
    </w:p>
    <w:p w14:paraId="616AEA5C">
      <w:pPr>
        <w:spacing w:line="580" w:lineRule="exact"/>
        <w:rPr>
          <w:rFonts w:hint="eastAsia" w:ascii="黑体" w:hAnsi="黑体" w:eastAsia="黑体" w:cs="黑体"/>
          <w:sz w:val="32"/>
          <w:szCs w:val="32"/>
          <w:lang w:eastAsia="zh-CN"/>
        </w:rPr>
      </w:pPr>
    </w:p>
    <w:p w14:paraId="5DADC0D5">
      <w:pPr>
        <w:spacing w:line="580" w:lineRule="exact"/>
        <w:rPr>
          <w:rFonts w:hint="eastAsia" w:ascii="黑体" w:hAnsi="黑体" w:eastAsia="黑体" w:cs="黑体"/>
          <w:sz w:val="32"/>
          <w:szCs w:val="32"/>
          <w:lang w:eastAsia="zh-CN"/>
        </w:rPr>
      </w:pPr>
    </w:p>
    <w:p w14:paraId="6DCB9D6B">
      <w:pPr>
        <w:spacing w:line="580" w:lineRule="exact"/>
        <w:rPr>
          <w:rFonts w:hint="eastAsia" w:ascii="黑体" w:hAnsi="黑体" w:eastAsia="黑体" w:cs="黑体"/>
          <w:sz w:val="32"/>
          <w:szCs w:val="32"/>
          <w:lang w:eastAsia="zh-CN"/>
        </w:rPr>
      </w:pPr>
    </w:p>
    <w:p w14:paraId="3762FD3F">
      <w:pPr>
        <w:spacing w:line="580" w:lineRule="exact"/>
        <w:rPr>
          <w:rFonts w:hint="eastAsia" w:ascii="黑体" w:hAnsi="黑体" w:eastAsia="黑体" w:cs="黑体"/>
          <w:sz w:val="32"/>
          <w:szCs w:val="32"/>
          <w:lang w:eastAsia="zh-CN"/>
        </w:rPr>
      </w:pPr>
    </w:p>
    <w:p w14:paraId="6B9A1899">
      <w:pPr>
        <w:spacing w:line="580" w:lineRule="exact"/>
        <w:rPr>
          <w:rFonts w:hint="eastAsia" w:ascii="黑体" w:hAnsi="黑体" w:eastAsia="黑体" w:cs="黑体"/>
          <w:sz w:val="32"/>
          <w:szCs w:val="32"/>
          <w:lang w:eastAsia="zh-CN"/>
        </w:rPr>
      </w:pPr>
    </w:p>
    <w:p w14:paraId="11AEA710">
      <w:pPr>
        <w:spacing w:line="580" w:lineRule="exact"/>
        <w:rPr>
          <w:rFonts w:hint="eastAsia" w:ascii="黑体" w:hAnsi="黑体" w:eastAsia="黑体" w:cs="黑体"/>
          <w:sz w:val="32"/>
          <w:szCs w:val="32"/>
          <w:lang w:eastAsia="zh-CN"/>
        </w:rPr>
      </w:pPr>
    </w:p>
    <w:p w14:paraId="744BBF7D">
      <w:pPr>
        <w:spacing w:line="580" w:lineRule="exact"/>
        <w:rPr>
          <w:rFonts w:hint="eastAsia" w:ascii="黑体" w:hAnsi="黑体" w:eastAsia="黑体" w:cs="黑体"/>
          <w:sz w:val="32"/>
          <w:szCs w:val="32"/>
          <w:lang w:eastAsia="zh-CN"/>
        </w:rPr>
      </w:pPr>
    </w:p>
    <w:p w14:paraId="18FE24D6">
      <w:pPr>
        <w:spacing w:line="580" w:lineRule="exact"/>
        <w:rPr>
          <w:rFonts w:hint="eastAsia" w:ascii="黑体" w:hAnsi="黑体" w:eastAsia="黑体" w:cs="黑体"/>
          <w:sz w:val="32"/>
          <w:szCs w:val="32"/>
          <w:lang w:eastAsia="zh-CN"/>
        </w:rPr>
      </w:pPr>
    </w:p>
    <w:p w14:paraId="68D7D41F">
      <w:pPr>
        <w:spacing w:line="580" w:lineRule="exact"/>
        <w:rPr>
          <w:rFonts w:hint="eastAsia" w:ascii="黑体" w:hAnsi="黑体" w:eastAsia="黑体" w:cs="黑体"/>
          <w:sz w:val="32"/>
          <w:szCs w:val="32"/>
          <w:lang w:eastAsia="zh-CN"/>
        </w:rPr>
      </w:pPr>
    </w:p>
    <w:p w14:paraId="3AF193CF">
      <w:pPr>
        <w:spacing w:line="580" w:lineRule="exact"/>
        <w:ind w:firstLine="3200" w:firstLineChars="10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2025年4月</w:t>
      </w:r>
    </w:p>
    <w:bookmarkEnd w:id="0"/>
    <w:p w14:paraId="60C05147">
      <w:pPr>
        <w:spacing w:line="580" w:lineRule="exact"/>
        <w:rPr>
          <w:rFonts w:ascii="Times New Roman" w:hAnsi="Times New Roman" w:eastAsia="方正小标宋简体" w:cs="Times New Roman"/>
          <w:sz w:val="44"/>
          <w:szCs w:val="44"/>
          <w:lang w:eastAsia="zh-CN"/>
        </w:rPr>
      </w:pPr>
    </w:p>
    <w:p w14:paraId="4CFAEBE8">
      <w:pPr>
        <w:pStyle w:val="5"/>
        <w:rPr>
          <w:rFonts w:eastAsiaTheme="minorEastAsia"/>
          <w:lang w:eastAsia="zh-CN"/>
        </w:rPr>
      </w:pPr>
    </w:p>
    <w:p w14:paraId="5138F853">
      <w:pPr>
        <w:widowControl w:val="0"/>
        <w:kinsoku/>
        <w:autoSpaceDE/>
        <w:autoSpaceDN/>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一、竞赛项目、标准</w:t>
      </w:r>
    </w:p>
    <w:p w14:paraId="119B6837">
      <w:pPr>
        <w:widowControl w:val="0"/>
        <w:kinsoku/>
        <w:autoSpaceDE/>
        <w:autoSpaceDN/>
        <w:spacing w:line="580" w:lineRule="exact"/>
        <w:ind w:firstLine="640" w:firstLineChars="200"/>
        <w:jc w:val="both"/>
        <w:textAlignment w:val="auto"/>
        <w:rPr>
          <w:rFonts w:hint="eastAsia" w:ascii="楷体_GB2312" w:hAnsi="楷体_GB2312" w:eastAsia="楷体_GB2312" w:cs="楷体_GB2312"/>
          <w:snapToGrid/>
          <w:color w:val="auto"/>
          <w:kern w:val="2"/>
          <w:sz w:val="32"/>
          <w:szCs w:val="32"/>
          <w:lang w:eastAsia="zh-CN"/>
        </w:rPr>
      </w:pPr>
      <w:r>
        <w:rPr>
          <w:rFonts w:hint="eastAsia" w:ascii="楷体_GB2312" w:hAnsi="楷体_GB2312" w:eastAsia="楷体_GB2312" w:cs="楷体_GB2312"/>
          <w:snapToGrid/>
          <w:color w:val="auto"/>
          <w:kern w:val="2"/>
          <w:sz w:val="32"/>
          <w:szCs w:val="32"/>
          <w:lang w:eastAsia="zh-CN"/>
        </w:rPr>
        <w:t>（一）竞赛项目</w:t>
      </w:r>
    </w:p>
    <w:p w14:paraId="11F9B437">
      <w:pPr>
        <w:widowControl w:val="0"/>
        <w:spacing w:line="600" w:lineRule="exact"/>
        <w:ind w:firstLine="640" w:firstLineChars="200"/>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工程机械维修工（港口起重机械）。</w:t>
      </w:r>
    </w:p>
    <w:p w14:paraId="3383583B">
      <w:pPr>
        <w:widowControl w:val="0"/>
        <w:kinsoku/>
        <w:autoSpaceDE/>
        <w:autoSpaceDN/>
        <w:spacing w:line="580" w:lineRule="exact"/>
        <w:ind w:firstLine="640" w:firstLineChars="200"/>
        <w:jc w:val="both"/>
        <w:textAlignment w:val="auto"/>
        <w:rPr>
          <w:rFonts w:hint="eastAsia" w:ascii="楷体_GB2312" w:hAnsi="楷体_GB2312" w:eastAsia="楷体_GB2312" w:cs="楷体_GB2312"/>
          <w:snapToGrid/>
          <w:color w:val="auto"/>
          <w:kern w:val="2"/>
          <w:sz w:val="32"/>
          <w:szCs w:val="32"/>
          <w:lang w:eastAsia="zh-CN"/>
        </w:rPr>
      </w:pPr>
      <w:r>
        <w:rPr>
          <w:rFonts w:hint="eastAsia" w:ascii="楷体_GB2312" w:hAnsi="楷体_GB2312" w:eastAsia="楷体_GB2312" w:cs="楷体_GB2312"/>
          <w:snapToGrid/>
          <w:color w:val="auto"/>
          <w:kern w:val="2"/>
          <w:sz w:val="32"/>
          <w:szCs w:val="32"/>
          <w:lang w:eastAsia="zh-CN"/>
        </w:rPr>
        <w:t>（二）竞赛标准</w:t>
      </w:r>
    </w:p>
    <w:p w14:paraId="50DC9664">
      <w:pPr>
        <w:widowControl w:val="0"/>
        <w:kinsoku/>
        <w:autoSpaceDE/>
        <w:autoSpaceDN/>
        <w:spacing w:line="560" w:lineRule="exact"/>
        <w:ind w:firstLine="640" w:firstLineChars="200"/>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以工程机械维修工</w:t>
      </w:r>
      <w:bookmarkStart w:id="11" w:name="_GoBack"/>
      <w:bookmarkEnd w:id="11"/>
      <w:r>
        <w:rPr>
          <w:rFonts w:hint="eastAsia" w:ascii="仿宋_GB2312" w:hAnsi="仿宋_GB2312" w:eastAsia="仿宋_GB2312" w:cs="仿宋_GB2312"/>
          <w:color w:val="auto"/>
          <w:kern w:val="2"/>
          <w:sz w:val="32"/>
          <w:szCs w:val="32"/>
          <w:lang w:eastAsia="zh-CN"/>
        </w:rPr>
        <w:t>四</w:t>
      </w:r>
      <w:r>
        <w:rPr>
          <w:rFonts w:ascii="仿宋_GB2312" w:hAnsi="仿宋_GB2312" w:eastAsia="仿宋_GB2312" w:cs="仿宋_GB2312"/>
          <w:color w:val="auto"/>
          <w:kern w:val="2"/>
          <w:sz w:val="32"/>
          <w:szCs w:val="32"/>
          <w:lang w:eastAsia="zh-CN"/>
        </w:rPr>
        <w:t>级</w:t>
      </w:r>
      <w:r>
        <w:rPr>
          <w:rFonts w:hint="eastAsia" w:ascii="仿宋_GB2312" w:hAnsi="仿宋_GB2312" w:eastAsia="仿宋_GB2312" w:cs="仿宋_GB2312"/>
          <w:color w:val="auto"/>
          <w:kern w:val="2"/>
          <w:sz w:val="32"/>
          <w:szCs w:val="32"/>
          <w:lang w:eastAsia="zh-CN"/>
        </w:rPr>
        <w:t>/中</w:t>
      </w:r>
      <w:r>
        <w:rPr>
          <w:rFonts w:ascii="仿宋_GB2312" w:hAnsi="仿宋_GB2312" w:eastAsia="仿宋_GB2312" w:cs="仿宋_GB2312"/>
          <w:color w:val="auto"/>
          <w:kern w:val="2"/>
          <w:sz w:val="32"/>
          <w:szCs w:val="32"/>
          <w:lang w:eastAsia="zh-CN"/>
        </w:rPr>
        <w:t>级工国家职业技能标准</w:t>
      </w:r>
      <w:r>
        <w:rPr>
          <w:rFonts w:hint="eastAsia" w:ascii="仿宋_GB2312" w:hAnsi="仿宋_GB2312" w:eastAsia="仿宋_GB2312" w:cs="仿宋_GB2312"/>
          <w:color w:val="auto"/>
          <w:sz w:val="32"/>
          <w:szCs w:val="32"/>
          <w:lang w:eastAsia="zh-CN"/>
        </w:rPr>
        <w:t>为依据</w:t>
      </w:r>
      <w:r>
        <w:rPr>
          <w:rFonts w:hint="eastAsia" w:ascii="仿宋_GB2312" w:hAnsi="仿宋_GB2312" w:eastAsia="仿宋_GB2312" w:cs="仿宋_GB2312"/>
          <w:color w:val="auto"/>
          <w:kern w:val="2"/>
          <w:sz w:val="32"/>
          <w:szCs w:val="32"/>
          <w:lang w:eastAsia="zh-CN"/>
        </w:rPr>
        <w:t>，结合</w:t>
      </w:r>
      <w:r>
        <w:rPr>
          <w:rFonts w:hint="eastAsia" w:ascii="仿宋_GB2312" w:hAnsi="仿宋_GB2312" w:eastAsia="仿宋_GB2312" w:cs="仿宋_GB2312"/>
          <w:color w:val="auto"/>
          <w:sz w:val="32"/>
          <w:szCs w:val="32"/>
          <w:lang w:eastAsia="zh-CN"/>
        </w:rPr>
        <w:t>新时代行业企业发展情况</w:t>
      </w:r>
      <w:r>
        <w:rPr>
          <w:rFonts w:hint="eastAsia" w:ascii="仿宋_GB2312" w:hAnsi="仿宋_GB2312" w:eastAsia="仿宋_GB2312" w:cs="仿宋_GB2312"/>
          <w:color w:val="auto"/>
          <w:kern w:val="2"/>
          <w:sz w:val="32"/>
          <w:szCs w:val="32"/>
          <w:lang w:eastAsia="zh-CN"/>
        </w:rPr>
        <w:t>，并适当增加相关新知识、新技术、新工艺和新技能等方面的内容，由执委会统一组织专家命题。</w:t>
      </w:r>
    </w:p>
    <w:p w14:paraId="398254B1">
      <w:pPr>
        <w:widowControl w:val="0"/>
        <w:kinsoku/>
        <w:autoSpaceDE/>
        <w:autoSpaceDN/>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二、竞赛方式及内容</w:t>
      </w:r>
    </w:p>
    <w:p w14:paraId="57F7E663">
      <w:pPr>
        <w:widowControl w:val="0"/>
        <w:kinsoku/>
        <w:autoSpaceDE/>
        <w:autoSpaceDN/>
        <w:spacing w:line="560" w:lineRule="exact"/>
        <w:ind w:firstLine="640" w:firstLineChars="200"/>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本次竞赛为单人赛，分初赛和决赛两个阶段进行，竞赛分三组，以岸吊（特指岸边集装箱桥式起重机）、龙门吊（特指轮胎式集装箱龙门起重机）、空箱堆高机三项内容分组同时进行竞赛，由裁判长组织落实各项技术工作。初赛为理论知识竞赛，决赛为实际操作竞赛。</w:t>
      </w:r>
    </w:p>
    <w:p w14:paraId="5C4E46DE">
      <w:pPr>
        <w:widowControl w:val="0"/>
        <w:kinsoku/>
        <w:autoSpaceDE/>
        <w:autoSpaceDN/>
        <w:spacing w:line="580" w:lineRule="exact"/>
        <w:ind w:firstLine="640" w:firstLineChars="200"/>
        <w:jc w:val="both"/>
        <w:textAlignment w:val="auto"/>
        <w:rPr>
          <w:rFonts w:hint="eastAsia" w:ascii="楷体_GB2312" w:hAnsi="楷体_GB2312" w:eastAsia="楷体_GB2312" w:cs="楷体_GB2312"/>
          <w:snapToGrid/>
          <w:color w:val="auto"/>
          <w:kern w:val="2"/>
          <w:sz w:val="32"/>
          <w:szCs w:val="32"/>
          <w:lang w:eastAsia="zh-CN"/>
        </w:rPr>
      </w:pPr>
      <w:r>
        <w:rPr>
          <w:rFonts w:hint="eastAsia" w:ascii="楷体_GB2312" w:hAnsi="楷体_GB2312" w:eastAsia="楷体_GB2312" w:cs="楷体_GB2312"/>
          <w:snapToGrid/>
          <w:color w:val="auto"/>
          <w:kern w:val="2"/>
          <w:sz w:val="32"/>
          <w:szCs w:val="32"/>
          <w:lang w:eastAsia="zh-CN"/>
        </w:rPr>
        <w:t>（一）初赛</w:t>
      </w:r>
    </w:p>
    <w:p w14:paraId="4201A9DC">
      <w:pPr>
        <w:widowControl w:val="0"/>
        <w:kinsoku/>
        <w:autoSpaceDE/>
        <w:autoSpaceDN/>
        <w:spacing w:line="560" w:lineRule="exact"/>
        <w:ind w:firstLine="640" w:firstLineChars="200"/>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初赛采用纸笔作答方式进行，各组取初赛成绩排名前20名选手，共60名进入决赛，共计竞赛时间60分钟，满分为100分。题型为单选题、多选题、判断题。竞赛内容如下表所示：</w:t>
      </w:r>
    </w:p>
    <w:p w14:paraId="54DE3663">
      <w:pPr>
        <w:widowControl w:val="0"/>
        <w:kinsoku/>
        <w:autoSpaceDE/>
        <w:autoSpaceDN/>
        <w:spacing w:line="560" w:lineRule="exact"/>
        <w:ind w:firstLine="640" w:firstLineChars="200"/>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1.岸吊竞赛内容</w:t>
      </w:r>
    </w:p>
    <w:tbl>
      <w:tblPr>
        <w:tblStyle w:val="10"/>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488"/>
        <w:gridCol w:w="6419"/>
      </w:tblGrid>
      <w:tr w14:paraId="4F881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207" w:type="dxa"/>
            <w:gridSpan w:val="2"/>
            <w:tcBorders>
              <w:top w:val="single" w:color="auto" w:sz="4" w:space="0"/>
              <w:left w:val="single" w:color="auto" w:sz="4" w:space="0"/>
              <w:bottom w:val="single" w:color="auto" w:sz="4" w:space="0"/>
              <w:right w:val="single" w:color="auto" w:sz="4" w:space="0"/>
            </w:tcBorders>
            <w:vAlign w:val="center"/>
          </w:tcPr>
          <w:p w14:paraId="6BD94928">
            <w:pPr>
              <w:spacing w:line="400" w:lineRule="exact"/>
              <w:jc w:val="center"/>
              <w:textAlignment w:val="center"/>
              <w:rPr>
                <w:rFonts w:hint="eastAsia" w:ascii="仿宋_GB2312" w:hAnsi="仿宋_GB2312" w:eastAsia="仿宋_GB2312" w:cs="仿宋_GB2312"/>
                <w:color w:val="auto"/>
                <w:spacing w:val="-6"/>
                <w:sz w:val="28"/>
                <w:szCs w:val="28"/>
              </w:rPr>
            </w:pPr>
            <w:r>
              <w:rPr>
                <w:rFonts w:hint="eastAsia" w:ascii="仿宋_GB2312" w:hAnsi="仿宋_GB2312" w:eastAsia="仿宋_GB2312" w:cs="仿宋_GB2312"/>
                <w:color w:val="auto"/>
                <w:sz w:val="28"/>
                <w:szCs w:val="28"/>
              </w:rPr>
              <w:t>竞赛范围</w:t>
            </w:r>
          </w:p>
        </w:tc>
        <w:tc>
          <w:tcPr>
            <w:tcW w:w="6419" w:type="dxa"/>
            <w:tcBorders>
              <w:top w:val="single" w:color="auto" w:sz="4" w:space="0"/>
              <w:left w:val="single" w:color="auto" w:sz="4" w:space="0"/>
              <w:bottom w:val="single" w:color="auto" w:sz="4" w:space="0"/>
              <w:right w:val="single" w:color="auto" w:sz="4" w:space="0"/>
            </w:tcBorders>
            <w:vAlign w:val="center"/>
          </w:tcPr>
          <w:p w14:paraId="09D87188">
            <w:pPr>
              <w:spacing w:line="400" w:lineRule="exact"/>
              <w:jc w:val="center"/>
              <w:textAlignment w:val="center"/>
              <w:rPr>
                <w:rFonts w:hint="eastAsia" w:ascii="仿宋_GB2312" w:hAnsi="仿宋_GB2312" w:eastAsia="仿宋_GB2312" w:cs="仿宋_GB2312"/>
                <w:color w:val="auto"/>
                <w:spacing w:val="-6"/>
                <w:sz w:val="28"/>
                <w:szCs w:val="28"/>
              </w:rPr>
            </w:pPr>
            <w:r>
              <w:rPr>
                <w:rFonts w:hint="eastAsia" w:ascii="仿宋_GB2312" w:hAnsi="仿宋_GB2312" w:eastAsia="仿宋_GB2312" w:cs="仿宋_GB2312"/>
                <w:color w:val="auto"/>
                <w:sz w:val="28"/>
                <w:szCs w:val="28"/>
              </w:rPr>
              <w:t>竞赛内容</w:t>
            </w:r>
          </w:p>
        </w:tc>
      </w:tr>
      <w:tr w14:paraId="78FA4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7" w:type="dxa"/>
            <w:gridSpan w:val="2"/>
            <w:tcBorders>
              <w:top w:val="single" w:color="auto" w:sz="4" w:space="0"/>
              <w:left w:val="single" w:color="auto" w:sz="4" w:space="0"/>
              <w:right w:val="single" w:color="auto" w:sz="4" w:space="0"/>
            </w:tcBorders>
            <w:vAlign w:val="center"/>
          </w:tcPr>
          <w:p w14:paraId="3283440E">
            <w:pPr>
              <w:spacing w:line="400" w:lineRule="exact"/>
              <w:jc w:val="center"/>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法律法规及规程</w:t>
            </w:r>
          </w:p>
        </w:tc>
        <w:tc>
          <w:tcPr>
            <w:tcW w:w="6419" w:type="dxa"/>
            <w:tcBorders>
              <w:top w:val="single" w:color="auto" w:sz="4" w:space="0"/>
              <w:left w:val="single" w:color="auto" w:sz="4" w:space="0"/>
              <w:bottom w:val="single" w:color="auto" w:sz="4" w:space="0"/>
              <w:right w:val="single" w:color="auto" w:sz="4" w:space="0"/>
            </w:tcBorders>
            <w:vAlign w:val="center"/>
          </w:tcPr>
          <w:p w14:paraId="70D68CFF">
            <w:pPr>
              <w:pStyle w:val="17"/>
              <w:spacing w:line="400" w:lineRule="exact"/>
              <w:ind w:firstLine="0" w:firstLineChars="0"/>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—《安全生产法》、《特种设备安全法》、《特种设备安全监察条例》等相关最新法律、法规知识</w:t>
            </w:r>
          </w:p>
          <w:p w14:paraId="71EC1083">
            <w:pPr>
              <w:pStyle w:val="17"/>
              <w:spacing w:line="400" w:lineRule="exact"/>
              <w:ind w:firstLine="0" w:firstLineChars="0"/>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—《起重机械安全技术规程》（TSG 51-2023）相关标准</w:t>
            </w:r>
          </w:p>
          <w:p w14:paraId="084277CA">
            <w:pPr>
              <w:pStyle w:val="2"/>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—《用电安全导则》（GB/T 13869）等电气规范要求</w:t>
            </w:r>
          </w:p>
        </w:tc>
      </w:tr>
      <w:tr w14:paraId="5E574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719" w:type="dxa"/>
            <w:vMerge w:val="restart"/>
            <w:tcBorders>
              <w:top w:val="single" w:color="auto" w:sz="4" w:space="0"/>
              <w:left w:val="single" w:color="auto" w:sz="4" w:space="0"/>
              <w:right w:val="single" w:color="auto" w:sz="4" w:space="0"/>
            </w:tcBorders>
            <w:vAlign w:val="center"/>
          </w:tcPr>
          <w:p w14:paraId="337BBB63">
            <w:pPr>
              <w:spacing w:line="400" w:lineRule="exac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基础</w:t>
            </w:r>
          </w:p>
          <w:p w14:paraId="2CD086D4">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知识</w:t>
            </w:r>
          </w:p>
        </w:tc>
        <w:tc>
          <w:tcPr>
            <w:tcW w:w="1488" w:type="dxa"/>
            <w:tcBorders>
              <w:top w:val="single" w:color="auto" w:sz="4" w:space="0"/>
              <w:left w:val="single" w:color="auto" w:sz="4" w:space="0"/>
              <w:bottom w:val="single" w:color="auto" w:sz="4" w:space="0"/>
              <w:right w:val="single" w:color="auto" w:sz="4" w:space="0"/>
            </w:tcBorders>
            <w:vAlign w:val="center"/>
          </w:tcPr>
          <w:p w14:paraId="56D13FE4">
            <w:pPr>
              <w:spacing w:line="400" w:lineRule="exact"/>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日常维保</w:t>
            </w:r>
            <w:r>
              <w:rPr>
                <w:rFonts w:hint="eastAsia" w:ascii="仿宋_GB2312" w:hAnsi="仿宋_GB2312" w:eastAsia="仿宋_GB2312" w:cs="仿宋_GB2312"/>
                <w:color w:val="auto"/>
                <w:sz w:val="28"/>
                <w:szCs w:val="28"/>
              </w:rPr>
              <w:t>基础知识</w:t>
            </w:r>
          </w:p>
        </w:tc>
        <w:tc>
          <w:tcPr>
            <w:tcW w:w="6419" w:type="dxa"/>
            <w:tcBorders>
              <w:top w:val="single" w:color="auto" w:sz="4" w:space="0"/>
              <w:left w:val="single" w:color="auto" w:sz="4" w:space="0"/>
              <w:bottom w:val="single" w:color="auto" w:sz="4" w:space="0"/>
              <w:right w:val="single" w:color="auto" w:sz="4" w:space="0"/>
            </w:tcBorders>
            <w:vAlign w:val="center"/>
          </w:tcPr>
          <w:p w14:paraId="348CF59B">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—作业前检查内容</w:t>
            </w:r>
          </w:p>
          <w:p w14:paraId="1EB704BE">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—润滑保养方法及要求</w:t>
            </w:r>
          </w:p>
          <w:p w14:paraId="6E3DA0CC">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—制动器调整方法和标准</w:t>
            </w:r>
          </w:p>
          <w:p w14:paraId="4D4E9FA7">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—轨道检查</w:t>
            </w:r>
          </w:p>
          <w:p w14:paraId="5C4FB916">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—结构件全面检查</w:t>
            </w:r>
          </w:p>
          <w:p w14:paraId="797C5EA6">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—电气系统检查</w:t>
            </w:r>
          </w:p>
          <w:p w14:paraId="33480875">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—安全装置检查、载荷试验</w:t>
            </w:r>
          </w:p>
          <w:p w14:paraId="6D79379C">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—维保安全注意事项</w:t>
            </w:r>
          </w:p>
        </w:tc>
      </w:tr>
      <w:tr w14:paraId="1BE77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jc w:val="center"/>
        </w:trPr>
        <w:tc>
          <w:tcPr>
            <w:tcW w:w="719" w:type="dxa"/>
            <w:vMerge w:val="continue"/>
            <w:tcBorders>
              <w:left w:val="single" w:color="auto" w:sz="4" w:space="0"/>
              <w:right w:val="single" w:color="auto" w:sz="4" w:space="0"/>
            </w:tcBorders>
            <w:vAlign w:val="center"/>
          </w:tcPr>
          <w:p w14:paraId="54D77B4D">
            <w:pPr>
              <w:spacing w:line="400" w:lineRule="exact"/>
              <w:textAlignment w:val="center"/>
              <w:rPr>
                <w:rFonts w:hint="eastAsia" w:ascii="仿宋_GB2312" w:hAnsi="仿宋_GB2312" w:eastAsia="仿宋_GB2312" w:cs="仿宋_GB2312"/>
                <w:color w:val="auto"/>
                <w:sz w:val="28"/>
                <w:szCs w:val="28"/>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69A21CA0">
            <w:pPr>
              <w:spacing w:line="400" w:lineRule="exact"/>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故障排除</w:t>
            </w:r>
            <w:r>
              <w:rPr>
                <w:rFonts w:hint="eastAsia" w:ascii="仿宋_GB2312" w:hAnsi="仿宋_GB2312" w:eastAsia="仿宋_GB2312" w:cs="仿宋_GB2312"/>
                <w:color w:val="auto"/>
                <w:sz w:val="28"/>
                <w:szCs w:val="28"/>
              </w:rPr>
              <w:t>基础知识</w:t>
            </w:r>
          </w:p>
        </w:tc>
        <w:tc>
          <w:tcPr>
            <w:tcW w:w="6419" w:type="dxa"/>
            <w:tcBorders>
              <w:top w:val="single" w:color="auto" w:sz="4" w:space="0"/>
              <w:left w:val="single" w:color="auto" w:sz="4" w:space="0"/>
              <w:bottom w:val="single" w:color="auto" w:sz="4" w:space="0"/>
              <w:right w:val="single" w:color="auto" w:sz="4" w:space="0"/>
            </w:tcBorders>
            <w:vAlign w:val="center"/>
          </w:tcPr>
          <w:p w14:paraId="0B31164C">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—起重机运行时的异常噪声和振动</w:t>
            </w:r>
          </w:p>
          <w:p w14:paraId="753111DC">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—制动器失效</w:t>
            </w:r>
          </w:p>
          <w:p w14:paraId="76872439">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—限位器不动作</w:t>
            </w:r>
          </w:p>
          <w:p w14:paraId="39858FED">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—运动摩擦副超标判断</w:t>
            </w:r>
          </w:p>
          <w:p w14:paraId="53EF3C41">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—电气回路的通断测定</w:t>
            </w:r>
          </w:p>
        </w:tc>
      </w:tr>
      <w:tr w14:paraId="64566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8" w:hRule="atLeast"/>
          <w:jc w:val="center"/>
        </w:trPr>
        <w:tc>
          <w:tcPr>
            <w:tcW w:w="719" w:type="dxa"/>
            <w:vMerge w:val="restart"/>
            <w:tcBorders>
              <w:top w:val="single" w:color="auto" w:sz="4" w:space="0"/>
              <w:left w:val="single" w:color="auto" w:sz="4" w:space="0"/>
              <w:right w:val="single" w:color="auto" w:sz="4" w:space="0"/>
            </w:tcBorders>
            <w:vAlign w:val="center"/>
          </w:tcPr>
          <w:p w14:paraId="1AA21F7E">
            <w:pPr>
              <w:spacing w:line="400" w:lineRule="exac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专业</w:t>
            </w:r>
          </w:p>
          <w:p w14:paraId="589ED853">
            <w:pPr>
              <w:spacing w:line="400" w:lineRule="exac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知识</w:t>
            </w:r>
          </w:p>
        </w:tc>
        <w:tc>
          <w:tcPr>
            <w:tcW w:w="1488" w:type="dxa"/>
            <w:tcBorders>
              <w:top w:val="single" w:color="auto" w:sz="4" w:space="0"/>
              <w:left w:val="single" w:color="auto" w:sz="4" w:space="0"/>
              <w:bottom w:val="single" w:color="auto" w:sz="4" w:space="0"/>
              <w:right w:val="single" w:color="auto" w:sz="4" w:space="0"/>
            </w:tcBorders>
            <w:vAlign w:val="center"/>
          </w:tcPr>
          <w:p w14:paraId="60DDC0CA">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元件更换、</w:t>
            </w:r>
          </w:p>
          <w:p w14:paraId="363A0104">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设备更新、</w:t>
            </w:r>
          </w:p>
          <w:p w14:paraId="6A45C50D">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设备改造</w:t>
            </w:r>
          </w:p>
          <w:p w14:paraId="11A57252">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相关知识</w:t>
            </w:r>
          </w:p>
        </w:tc>
        <w:tc>
          <w:tcPr>
            <w:tcW w:w="6419" w:type="dxa"/>
            <w:tcBorders>
              <w:top w:val="single" w:color="auto" w:sz="4" w:space="0"/>
              <w:left w:val="single" w:color="auto" w:sz="4" w:space="0"/>
              <w:bottom w:val="single" w:color="auto" w:sz="4" w:space="0"/>
              <w:right w:val="single" w:color="auto" w:sz="4" w:space="0"/>
            </w:tcBorders>
            <w:vAlign w:val="center"/>
          </w:tcPr>
          <w:p w14:paraId="131F6B2A">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—钢丝绳及滑轮的异常磨损、钢丝绳断丝（断股）的原因分析</w:t>
            </w:r>
          </w:p>
          <w:p w14:paraId="375EE6A7">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—液压油、润滑油（脂）分析</w:t>
            </w:r>
          </w:p>
          <w:p w14:paraId="4EC35794">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—无损探伤（MT、UT）</w:t>
            </w:r>
          </w:p>
          <w:p w14:paraId="3703AA79">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—电气回路的接地要求，绝缘分析</w:t>
            </w:r>
          </w:p>
          <w:p w14:paraId="22AFB867">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—交流电的配线制式（三线制、四线制、五线制）与应用场景</w:t>
            </w:r>
          </w:p>
          <w:p w14:paraId="4A421618">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—液压系统故障分析、液压元件的维护与更换</w:t>
            </w:r>
          </w:p>
        </w:tc>
      </w:tr>
      <w:tr w14:paraId="3BD80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719" w:type="dxa"/>
            <w:vMerge w:val="continue"/>
            <w:tcBorders>
              <w:left w:val="single" w:color="auto" w:sz="4" w:space="0"/>
              <w:right w:val="single" w:color="auto" w:sz="4" w:space="0"/>
            </w:tcBorders>
            <w:vAlign w:val="center"/>
          </w:tcPr>
          <w:p w14:paraId="6190C1FC">
            <w:pPr>
              <w:spacing w:line="400" w:lineRule="exact"/>
              <w:textAlignment w:val="center"/>
              <w:rPr>
                <w:rFonts w:hint="eastAsia" w:ascii="仿宋_GB2312" w:hAnsi="仿宋_GB2312" w:eastAsia="仿宋_GB2312" w:cs="仿宋_GB2312"/>
                <w:color w:val="auto"/>
                <w:sz w:val="28"/>
                <w:szCs w:val="28"/>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096EC3AE">
            <w:pPr>
              <w:spacing w:line="400" w:lineRule="exact"/>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工具设备</w:t>
            </w:r>
          </w:p>
          <w:p w14:paraId="7955A999">
            <w:pPr>
              <w:spacing w:line="400" w:lineRule="exact"/>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知识</w:t>
            </w:r>
          </w:p>
        </w:tc>
        <w:tc>
          <w:tcPr>
            <w:tcW w:w="6419" w:type="dxa"/>
            <w:tcBorders>
              <w:top w:val="single" w:color="auto" w:sz="4" w:space="0"/>
              <w:left w:val="single" w:color="auto" w:sz="4" w:space="0"/>
              <w:bottom w:val="single" w:color="auto" w:sz="4" w:space="0"/>
              <w:right w:val="single" w:color="auto" w:sz="4" w:space="0"/>
            </w:tcBorders>
            <w:vAlign w:val="center"/>
          </w:tcPr>
          <w:p w14:paraId="6658460B">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—万用表的检测原理、应用及维护</w:t>
            </w:r>
          </w:p>
          <w:p w14:paraId="638410C0">
            <w:pPr>
              <w:spacing w:line="400" w:lineRule="exact"/>
              <w:ind w:left="27"/>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—吊运、吊装工具的定期检验和更新</w:t>
            </w:r>
          </w:p>
          <w:p w14:paraId="5C838026">
            <w:pPr>
              <w:tabs>
                <w:tab w:val="center" w:pos="4153"/>
                <w:tab w:val="right" w:pos="8306"/>
              </w:tabs>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—位置和距离检测（如水平仪和六角仪）的原理和使用注意事项</w:t>
            </w:r>
          </w:p>
        </w:tc>
      </w:tr>
      <w:tr w14:paraId="1F8C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719" w:type="dxa"/>
            <w:tcBorders>
              <w:top w:val="single" w:color="auto" w:sz="4" w:space="0"/>
              <w:left w:val="single" w:color="auto" w:sz="4" w:space="0"/>
              <w:right w:val="single" w:color="auto" w:sz="4" w:space="0"/>
            </w:tcBorders>
            <w:vAlign w:val="center"/>
          </w:tcPr>
          <w:p w14:paraId="69DC0F44">
            <w:pPr>
              <w:spacing w:line="400" w:lineRule="exac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相关知识</w:t>
            </w:r>
          </w:p>
        </w:tc>
        <w:tc>
          <w:tcPr>
            <w:tcW w:w="1488" w:type="dxa"/>
            <w:tcBorders>
              <w:top w:val="single" w:color="auto" w:sz="4" w:space="0"/>
              <w:left w:val="single" w:color="auto" w:sz="4" w:space="0"/>
              <w:right w:val="single" w:color="auto" w:sz="4" w:space="0"/>
            </w:tcBorders>
            <w:vAlign w:val="center"/>
          </w:tcPr>
          <w:p w14:paraId="3A429E5D">
            <w:pPr>
              <w:spacing w:line="400" w:lineRule="exact"/>
              <w:jc w:val="center"/>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安全环保</w:t>
            </w:r>
          </w:p>
        </w:tc>
        <w:tc>
          <w:tcPr>
            <w:tcW w:w="6419" w:type="dxa"/>
            <w:tcBorders>
              <w:top w:val="single" w:color="auto" w:sz="4" w:space="0"/>
              <w:left w:val="single" w:color="auto" w:sz="4" w:space="0"/>
              <w:bottom w:val="single" w:color="auto" w:sz="4" w:space="0"/>
              <w:right w:val="single" w:color="auto" w:sz="4" w:space="0"/>
            </w:tcBorders>
            <w:vAlign w:val="center"/>
          </w:tcPr>
          <w:p w14:paraId="28C21686">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—劳保用品的生产标准和使用要求</w:t>
            </w:r>
          </w:p>
          <w:p w14:paraId="38E6EA1F">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—油漆的使用、运输和存放</w:t>
            </w:r>
          </w:p>
          <w:p w14:paraId="0DB08021">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—设备及操作事故处理流程及注意事项</w:t>
            </w:r>
          </w:p>
          <w:p w14:paraId="473035CC">
            <w:pPr>
              <w:spacing w:line="400" w:lineRule="exact"/>
              <w:textAlignment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—维保人员伤害和设备起火的应急处理流程和预案</w:t>
            </w:r>
          </w:p>
        </w:tc>
      </w:tr>
    </w:tbl>
    <w:p w14:paraId="7509FE78">
      <w:pPr>
        <w:pStyle w:val="2"/>
        <w:rPr>
          <w:rFonts w:hint="eastAsia" w:asciiTheme="minorEastAsia" w:hAnsiTheme="minorEastAsia" w:eastAsiaTheme="minorEastAsia"/>
          <w:sz w:val="28"/>
          <w:szCs w:val="28"/>
          <w:lang w:eastAsia="zh-CN"/>
        </w:rPr>
      </w:pPr>
    </w:p>
    <w:p w14:paraId="1B743B21">
      <w:pPr>
        <w:widowControl w:val="0"/>
        <w:kinsoku/>
        <w:autoSpaceDE/>
        <w:autoSpaceDN/>
        <w:spacing w:line="560" w:lineRule="exact"/>
        <w:ind w:firstLine="548" w:firstLineChars="196"/>
        <w:textAlignment w:val="auto"/>
        <w:rPr>
          <w:rFonts w:hint="eastAsia" w:cs="仿宋_GB2312" w:asciiTheme="minorEastAsia" w:hAnsiTheme="minorEastAsia" w:eastAsiaTheme="minorEastAsia"/>
          <w:sz w:val="28"/>
          <w:szCs w:val="28"/>
          <w:lang w:eastAsia="zh-CN"/>
        </w:rPr>
      </w:pPr>
    </w:p>
    <w:p w14:paraId="550D2C71">
      <w:pPr>
        <w:widowControl w:val="0"/>
        <w:kinsoku/>
        <w:autoSpaceDE/>
        <w:autoSpaceDN/>
        <w:spacing w:line="560" w:lineRule="exact"/>
        <w:ind w:firstLine="548" w:firstLineChars="196"/>
        <w:textAlignment w:val="auto"/>
        <w:rPr>
          <w:rFonts w:hint="eastAsia" w:cs="仿宋_GB2312" w:asciiTheme="minorEastAsia" w:hAnsiTheme="minorEastAsia" w:eastAsiaTheme="minorEastAsia"/>
          <w:sz w:val="28"/>
          <w:szCs w:val="28"/>
          <w:lang w:eastAsia="zh-CN"/>
        </w:rPr>
      </w:pPr>
    </w:p>
    <w:p w14:paraId="756EC184">
      <w:pPr>
        <w:spacing w:line="400" w:lineRule="exact"/>
        <w:ind w:firstLine="640" w:firstLineChars="200"/>
        <w:textAlignment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2.龙门吊竞赛内容</w:t>
      </w:r>
    </w:p>
    <w:tbl>
      <w:tblPr>
        <w:tblStyle w:val="10"/>
        <w:tblW w:w="8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488"/>
        <w:gridCol w:w="6382"/>
      </w:tblGrid>
      <w:tr w14:paraId="0EAD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207" w:type="dxa"/>
            <w:gridSpan w:val="2"/>
            <w:tcBorders>
              <w:top w:val="single" w:color="auto" w:sz="4" w:space="0"/>
              <w:left w:val="single" w:color="auto" w:sz="4" w:space="0"/>
              <w:bottom w:val="single" w:color="auto" w:sz="4" w:space="0"/>
              <w:right w:val="single" w:color="auto" w:sz="4" w:space="0"/>
            </w:tcBorders>
            <w:vAlign w:val="center"/>
          </w:tcPr>
          <w:p w14:paraId="3502D652">
            <w:pPr>
              <w:spacing w:line="400" w:lineRule="exact"/>
              <w:jc w:val="center"/>
              <w:rPr>
                <w:rFonts w:hint="eastAsia" w:ascii="仿宋_GB2312" w:hAnsi="仿宋_GB2312" w:eastAsia="仿宋_GB2312" w:cs="仿宋_GB2312"/>
                <w:color w:val="auto"/>
                <w:spacing w:val="-6"/>
                <w:sz w:val="28"/>
                <w:szCs w:val="28"/>
              </w:rPr>
            </w:pPr>
            <w:r>
              <w:rPr>
                <w:rFonts w:hint="eastAsia" w:ascii="仿宋_GB2312" w:hAnsi="仿宋_GB2312" w:eastAsia="仿宋_GB2312" w:cs="仿宋_GB2312"/>
                <w:color w:val="auto"/>
                <w:sz w:val="28"/>
                <w:szCs w:val="28"/>
              </w:rPr>
              <w:t>竞赛范围</w:t>
            </w:r>
          </w:p>
        </w:tc>
        <w:tc>
          <w:tcPr>
            <w:tcW w:w="6382" w:type="dxa"/>
            <w:tcBorders>
              <w:top w:val="single" w:color="auto" w:sz="4" w:space="0"/>
              <w:left w:val="single" w:color="auto" w:sz="4" w:space="0"/>
              <w:bottom w:val="single" w:color="auto" w:sz="4" w:space="0"/>
              <w:right w:val="single" w:color="auto" w:sz="4" w:space="0"/>
            </w:tcBorders>
            <w:vAlign w:val="center"/>
          </w:tcPr>
          <w:p w14:paraId="48E4DAE2">
            <w:pPr>
              <w:spacing w:line="400" w:lineRule="exact"/>
              <w:jc w:val="center"/>
              <w:rPr>
                <w:rFonts w:hint="eastAsia" w:ascii="仿宋_GB2312" w:hAnsi="仿宋_GB2312" w:eastAsia="仿宋_GB2312" w:cs="仿宋_GB2312"/>
                <w:color w:val="auto"/>
                <w:spacing w:val="-6"/>
                <w:sz w:val="28"/>
                <w:szCs w:val="28"/>
              </w:rPr>
            </w:pPr>
            <w:r>
              <w:rPr>
                <w:rFonts w:hint="eastAsia" w:ascii="仿宋_GB2312" w:hAnsi="仿宋_GB2312" w:eastAsia="仿宋_GB2312" w:cs="仿宋_GB2312"/>
                <w:color w:val="auto"/>
                <w:sz w:val="28"/>
                <w:szCs w:val="28"/>
              </w:rPr>
              <w:t>竞赛内容</w:t>
            </w:r>
          </w:p>
        </w:tc>
      </w:tr>
      <w:tr w14:paraId="00DC3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07" w:type="dxa"/>
            <w:gridSpan w:val="2"/>
            <w:tcBorders>
              <w:top w:val="single" w:color="auto" w:sz="4" w:space="0"/>
              <w:left w:val="single" w:color="auto" w:sz="4" w:space="0"/>
              <w:right w:val="single" w:color="auto" w:sz="4" w:space="0"/>
            </w:tcBorders>
            <w:vAlign w:val="center"/>
          </w:tcPr>
          <w:p w14:paraId="437B5720">
            <w:pPr>
              <w:spacing w:line="40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法律法规及规程</w:t>
            </w:r>
          </w:p>
        </w:tc>
        <w:tc>
          <w:tcPr>
            <w:tcW w:w="6382" w:type="dxa"/>
            <w:tcBorders>
              <w:top w:val="single" w:color="auto" w:sz="4" w:space="0"/>
              <w:left w:val="single" w:color="auto" w:sz="4" w:space="0"/>
              <w:bottom w:val="single" w:color="auto" w:sz="4" w:space="0"/>
              <w:right w:val="single" w:color="auto" w:sz="4" w:space="0"/>
            </w:tcBorders>
            <w:vAlign w:val="center"/>
          </w:tcPr>
          <w:p w14:paraId="6DCA397E">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—《用电安全导则》（GB/T 13869）等电气规范要求</w:t>
            </w:r>
          </w:p>
          <w:p w14:paraId="020C92EF">
            <w:pPr>
              <w:spacing w:line="400" w:lineRule="exact"/>
              <w:ind w:left="560" w:hanging="560" w:hanging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—《安全生产法》、《特种设备安全法》、《特种设备安全监察条例》等相关法律、法规知识</w:t>
            </w:r>
          </w:p>
          <w:p w14:paraId="376D8D8D">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—《起重机械安全技术规程》（TSG 51-2023）相关标准</w:t>
            </w:r>
          </w:p>
        </w:tc>
      </w:tr>
      <w:tr w14:paraId="2B344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jc w:val="center"/>
        </w:trPr>
        <w:tc>
          <w:tcPr>
            <w:tcW w:w="719" w:type="dxa"/>
            <w:vMerge w:val="restart"/>
            <w:tcBorders>
              <w:top w:val="single" w:color="auto" w:sz="4" w:space="0"/>
              <w:left w:val="single" w:color="auto" w:sz="4" w:space="0"/>
              <w:right w:val="single" w:color="auto" w:sz="4" w:space="0"/>
            </w:tcBorders>
            <w:vAlign w:val="center"/>
          </w:tcPr>
          <w:p w14:paraId="1A9B146E">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基础</w:t>
            </w:r>
          </w:p>
          <w:p w14:paraId="4A6B8160">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知识</w:t>
            </w:r>
          </w:p>
        </w:tc>
        <w:tc>
          <w:tcPr>
            <w:tcW w:w="1488" w:type="dxa"/>
            <w:tcBorders>
              <w:top w:val="single" w:color="auto" w:sz="4" w:space="0"/>
              <w:left w:val="single" w:color="auto" w:sz="4" w:space="0"/>
              <w:bottom w:val="single" w:color="auto" w:sz="4" w:space="0"/>
              <w:right w:val="single" w:color="auto" w:sz="4" w:space="0"/>
            </w:tcBorders>
            <w:vAlign w:val="center"/>
          </w:tcPr>
          <w:p w14:paraId="194F14CF">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日常维保</w:t>
            </w:r>
            <w:r>
              <w:rPr>
                <w:rFonts w:hint="eastAsia" w:ascii="仿宋_GB2312" w:hAnsi="仿宋_GB2312" w:eastAsia="仿宋_GB2312" w:cs="仿宋_GB2312"/>
                <w:color w:val="auto"/>
                <w:sz w:val="28"/>
                <w:szCs w:val="28"/>
              </w:rPr>
              <w:t>基础知识</w:t>
            </w:r>
          </w:p>
        </w:tc>
        <w:tc>
          <w:tcPr>
            <w:tcW w:w="6382" w:type="dxa"/>
            <w:tcBorders>
              <w:top w:val="single" w:color="auto" w:sz="4" w:space="0"/>
              <w:left w:val="single" w:color="auto" w:sz="4" w:space="0"/>
              <w:bottom w:val="single" w:color="auto" w:sz="4" w:space="0"/>
              <w:right w:val="single" w:color="auto" w:sz="4" w:space="0"/>
            </w:tcBorders>
            <w:vAlign w:val="center"/>
          </w:tcPr>
          <w:p w14:paraId="09DE0B97">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—作业前检查内容</w:t>
            </w:r>
          </w:p>
          <w:p w14:paraId="266F50C9">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—润滑保养方法及要求</w:t>
            </w:r>
          </w:p>
          <w:p w14:paraId="177AF9F3">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—制动器调整方法和标准</w:t>
            </w:r>
          </w:p>
          <w:p w14:paraId="63D3AB54">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—轨道检查</w:t>
            </w:r>
          </w:p>
          <w:p w14:paraId="4A609D5E">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—结构件全面检查</w:t>
            </w:r>
          </w:p>
          <w:p w14:paraId="7781EF8B">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—电气系统检查</w:t>
            </w:r>
          </w:p>
          <w:p w14:paraId="4ECFA3E0">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—安全装置检查、载荷试验</w:t>
            </w:r>
          </w:p>
          <w:p w14:paraId="0ECEB64C">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—维保安全注意事项</w:t>
            </w:r>
          </w:p>
        </w:tc>
      </w:tr>
      <w:tr w14:paraId="7B710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19" w:type="dxa"/>
            <w:vMerge w:val="continue"/>
            <w:tcBorders>
              <w:left w:val="single" w:color="auto" w:sz="4" w:space="0"/>
              <w:right w:val="single" w:color="auto" w:sz="4" w:space="0"/>
            </w:tcBorders>
            <w:vAlign w:val="center"/>
          </w:tcPr>
          <w:p w14:paraId="0F945FC2">
            <w:pPr>
              <w:spacing w:line="400" w:lineRule="exact"/>
              <w:rPr>
                <w:rFonts w:hint="eastAsia" w:ascii="仿宋_GB2312" w:hAnsi="仿宋_GB2312" w:eastAsia="仿宋_GB2312" w:cs="仿宋_GB2312"/>
                <w:color w:val="auto"/>
                <w:sz w:val="28"/>
                <w:szCs w:val="28"/>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4A2A5504">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故障排除</w:t>
            </w:r>
            <w:r>
              <w:rPr>
                <w:rFonts w:hint="eastAsia" w:ascii="仿宋_GB2312" w:hAnsi="仿宋_GB2312" w:eastAsia="仿宋_GB2312" w:cs="仿宋_GB2312"/>
                <w:color w:val="auto"/>
                <w:sz w:val="28"/>
                <w:szCs w:val="28"/>
              </w:rPr>
              <w:t>基础知识</w:t>
            </w:r>
          </w:p>
        </w:tc>
        <w:tc>
          <w:tcPr>
            <w:tcW w:w="6382" w:type="dxa"/>
            <w:tcBorders>
              <w:top w:val="single" w:color="auto" w:sz="4" w:space="0"/>
              <w:left w:val="single" w:color="auto" w:sz="4" w:space="0"/>
              <w:bottom w:val="single" w:color="auto" w:sz="4" w:space="0"/>
              <w:right w:val="single" w:color="auto" w:sz="4" w:space="0"/>
            </w:tcBorders>
            <w:vAlign w:val="center"/>
          </w:tcPr>
          <w:p w14:paraId="550C557D">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—柴油机的启动失败原因分析</w:t>
            </w:r>
          </w:p>
          <w:p w14:paraId="553890D9">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—柴油机运行中的异常噪声</w:t>
            </w:r>
          </w:p>
          <w:p w14:paraId="7619B902">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—起重机运行时的异常噪声和振动</w:t>
            </w:r>
          </w:p>
          <w:p w14:paraId="53DB7C4F">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—制动器失效</w:t>
            </w:r>
          </w:p>
          <w:p w14:paraId="263CC2D6">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—限位器不动作</w:t>
            </w:r>
          </w:p>
          <w:p w14:paraId="040B40F2">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—运动摩擦副超标判断</w:t>
            </w:r>
          </w:p>
          <w:p w14:paraId="3EC7360B">
            <w:pPr>
              <w:pStyle w:val="17"/>
              <w:spacing w:line="400" w:lineRule="exact"/>
              <w:ind w:firstLine="0" w:firstLineChars="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—电气回路的通断测定</w:t>
            </w:r>
          </w:p>
        </w:tc>
      </w:tr>
      <w:tr w14:paraId="0A830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19" w:type="dxa"/>
            <w:vMerge w:val="restart"/>
            <w:tcBorders>
              <w:top w:val="single" w:color="auto" w:sz="4" w:space="0"/>
              <w:left w:val="single" w:color="auto" w:sz="4" w:space="0"/>
              <w:right w:val="single" w:color="auto" w:sz="4" w:space="0"/>
            </w:tcBorders>
            <w:vAlign w:val="center"/>
          </w:tcPr>
          <w:p w14:paraId="3ACC6C5C">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专业</w:t>
            </w:r>
          </w:p>
          <w:p w14:paraId="4F65CCFA">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知识</w:t>
            </w:r>
          </w:p>
        </w:tc>
        <w:tc>
          <w:tcPr>
            <w:tcW w:w="1488" w:type="dxa"/>
            <w:tcBorders>
              <w:top w:val="single" w:color="auto" w:sz="4" w:space="0"/>
              <w:left w:val="single" w:color="auto" w:sz="4" w:space="0"/>
              <w:bottom w:val="single" w:color="auto" w:sz="4" w:space="0"/>
              <w:right w:val="single" w:color="auto" w:sz="4" w:space="0"/>
            </w:tcBorders>
            <w:vAlign w:val="center"/>
          </w:tcPr>
          <w:p w14:paraId="0F757E92">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元件更换、</w:t>
            </w:r>
          </w:p>
          <w:p w14:paraId="29856229">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设备更新、</w:t>
            </w:r>
          </w:p>
          <w:p w14:paraId="7D137E6E">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设备改造</w:t>
            </w:r>
          </w:p>
          <w:p w14:paraId="6FE6435C">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相关知识</w:t>
            </w:r>
          </w:p>
        </w:tc>
        <w:tc>
          <w:tcPr>
            <w:tcW w:w="6382" w:type="dxa"/>
            <w:tcBorders>
              <w:top w:val="single" w:color="auto" w:sz="4" w:space="0"/>
              <w:left w:val="single" w:color="auto" w:sz="4" w:space="0"/>
              <w:bottom w:val="single" w:color="auto" w:sz="4" w:space="0"/>
              <w:right w:val="single" w:color="auto" w:sz="4" w:space="0"/>
            </w:tcBorders>
            <w:vAlign w:val="center"/>
          </w:tcPr>
          <w:p w14:paraId="6FB314EF">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—钢丝绳及滑轮的异常磨损、钢丝绳断丝（断股）的原因分析</w:t>
            </w:r>
          </w:p>
          <w:p w14:paraId="4437000C">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—液压油、润滑油（脂）分析</w:t>
            </w:r>
          </w:p>
          <w:p w14:paraId="0D09A381">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—电气回路的接地要求，绝缘分析</w:t>
            </w:r>
          </w:p>
          <w:p w14:paraId="45D248DB">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—交流电的配线制式（三线制、四线制、五线制）与应用场景</w:t>
            </w:r>
          </w:p>
          <w:p w14:paraId="2F41CDDB">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—液压系统故障分析、液压元件的维护与更换</w:t>
            </w:r>
          </w:p>
        </w:tc>
      </w:tr>
      <w:tr w14:paraId="7E6A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19" w:type="dxa"/>
            <w:vMerge w:val="continue"/>
            <w:tcBorders>
              <w:left w:val="single" w:color="auto" w:sz="4" w:space="0"/>
              <w:right w:val="single" w:color="auto" w:sz="4" w:space="0"/>
            </w:tcBorders>
            <w:vAlign w:val="center"/>
          </w:tcPr>
          <w:p w14:paraId="60553A0D">
            <w:pPr>
              <w:spacing w:line="400" w:lineRule="exact"/>
              <w:rPr>
                <w:rFonts w:hint="eastAsia" w:ascii="仿宋_GB2312" w:hAnsi="仿宋_GB2312" w:eastAsia="仿宋_GB2312" w:cs="仿宋_GB2312"/>
                <w:color w:val="auto"/>
                <w:sz w:val="28"/>
                <w:szCs w:val="28"/>
                <w:lang w:eastAsia="zh-CN"/>
              </w:rPr>
            </w:pPr>
          </w:p>
        </w:tc>
        <w:tc>
          <w:tcPr>
            <w:tcW w:w="1488" w:type="dxa"/>
            <w:tcBorders>
              <w:top w:val="single" w:color="auto" w:sz="4" w:space="0"/>
              <w:left w:val="single" w:color="auto" w:sz="4" w:space="0"/>
              <w:bottom w:val="single" w:color="auto" w:sz="4" w:space="0"/>
              <w:right w:val="single" w:color="auto" w:sz="4" w:space="0"/>
            </w:tcBorders>
            <w:vAlign w:val="center"/>
          </w:tcPr>
          <w:p w14:paraId="40A0DD97">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工具设备</w:t>
            </w:r>
          </w:p>
          <w:p w14:paraId="7661ADAA">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知识</w:t>
            </w:r>
          </w:p>
        </w:tc>
        <w:tc>
          <w:tcPr>
            <w:tcW w:w="6382" w:type="dxa"/>
            <w:tcBorders>
              <w:top w:val="single" w:color="auto" w:sz="4" w:space="0"/>
              <w:left w:val="single" w:color="auto" w:sz="4" w:space="0"/>
              <w:bottom w:val="single" w:color="auto" w:sz="4" w:space="0"/>
              <w:right w:val="single" w:color="auto" w:sz="4" w:space="0"/>
            </w:tcBorders>
            <w:vAlign w:val="center"/>
          </w:tcPr>
          <w:p w14:paraId="1C503B5C">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—万用表的检测原理、应用及维护。</w:t>
            </w:r>
          </w:p>
          <w:p w14:paraId="4D0201C7">
            <w:pPr>
              <w:spacing w:line="400" w:lineRule="exact"/>
              <w:ind w:left="27"/>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—吊运、吊装工具的定期检验和更新。</w:t>
            </w:r>
          </w:p>
          <w:p w14:paraId="610B0276">
            <w:pPr>
              <w:tabs>
                <w:tab w:val="center" w:pos="4153"/>
                <w:tab w:val="right" w:pos="8306"/>
              </w:tabs>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—位置和距离检测（如水平仪和六角仪）的原理和使用注意事项</w:t>
            </w:r>
          </w:p>
        </w:tc>
      </w:tr>
      <w:tr w14:paraId="1836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19" w:type="dxa"/>
            <w:tcBorders>
              <w:top w:val="single" w:color="auto" w:sz="4" w:space="0"/>
              <w:left w:val="single" w:color="auto" w:sz="4" w:space="0"/>
              <w:right w:val="single" w:color="auto" w:sz="4" w:space="0"/>
            </w:tcBorders>
            <w:vAlign w:val="center"/>
          </w:tcPr>
          <w:p w14:paraId="5120024D">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相关知识</w:t>
            </w:r>
          </w:p>
        </w:tc>
        <w:tc>
          <w:tcPr>
            <w:tcW w:w="1488" w:type="dxa"/>
            <w:tcBorders>
              <w:top w:val="single" w:color="auto" w:sz="4" w:space="0"/>
              <w:left w:val="single" w:color="auto" w:sz="4" w:space="0"/>
              <w:right w:val="single" w:color="auto" w:sz="4" w:space="0"/>
            </w:tcBorders>
            <w:vAlign w:val="center"/>
          </w:tcPr>
          <w:p w14:paraId="54051738">
            <w:pPr>
              <w:spacing w:line="400" w:lineRule="exact"/>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安全环保</w:t>
            </w:r>
          </w:p>
        </w:tc>
        <w:tc>
          <w:tcPr>
            <w:tcW w:w="6382" w:type="dxa"/>
            <w:tcBorders>
              <w:top w:val="single" w:color="auto" w:sz="4" w:space="0"/>
              <w:left w:val="single" w:color="auto" w:sz="4" w:space="0"/>
              <w:bottom w:val="single" w:color="auto" w:sz="4" w:space="0"/>
              <w:right w:val="single" w:color="auto" w:sz="4" w:space="0"/>
            </w:tcBorders>
            <w:vAlign w:val="center"/>
          </w:tcPr>
          <w:p w14:paraId="6258919D">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—劳保用品的生产标准和使用要求</w:t>
            </w:r>
          </w:p>
          <w:p w14:paraId="7AD71ECE">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—油漆的使用、运输和存放</w:t>
            </w:r>
          </w:p>
          <w:p w14:paraId="29C5BED2">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—设备及操作事故处理流程及注意事项</w:t>
            </w:r>
          </w:p>
          <w:p w14:paraId="22364D0A">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—维保人员伤害和设备起火的应急处理流程和预案</w:t>
            </w:r>
          </w:p>
        </w:tc>
      </w:tr>
    </w:tbl>
    <w:p w14:paraId="7679E3F6">
      <w:pPr>
        <w:widowControl w:val="0"/>
        <w:kinsoku/>
        <w:autoSpaceDE/>
        <w:autoSpaceDN/>
        <w:spacing w:line="560" w:lineRule="exact"/>
        <w:ind w:firstLine="627" w:firstLineChars="196"/>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3.空箱堆高机内容</w:t>
      </w:r>
    </w:p>
    <w:tbl>
      <w:tblPr>
        <w:tblStyle w:val="10"/>
        <w:tblW w:w="8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431"/>
        <w:gridCol w:w="5825"/>
      </w:tblGrid>
      <w:tr w14:paraId="5EB31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2864" w:type="dxa"/>
            <w:gridSpan w:val="2"/>
            <w:tcBorders>
              <w:top w:val="single" w:color="auto" w:sz="4" w:space="0"/>
              <w:left w:val="single" w:color="auto" w:sz="4" w:space="0"/>
              <w:bottom w:val="single" w:color="auto" w:sz="4" w:space="0"/>
              <w:right w:val="single" w:color="auto" w:sz="4" w:space="0"/>
            </w:tcBorders>
            <w:vAlign w:val="center"/>
          </w:tcPr>
          <w:p w14:paraId="3D2B5E3C">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竞赛范围</w:t>
            </w:r>
          </w:p>
        </w:tc>
        <w:tc>
          <w:tcPr>
            <w:tcW w:w="5825" w:type="dxa"/>
            <w:tcBorders>
              <w:top w:val="single" w:color="auto" w:sz="4" w:space="0"/>
              <w:left w:val="single" w:color="auto" w:sz="4" w:space="0"/>
              <w:bottom w:val="single" w:color="auto" w:sz="4" w:space="0"/>
              <w:right w:val="single" w:color="auto" w:sz="4" w:space="0"/>
            </w:tcBorders>
            <w:vAlign w:val="center"/>
          </w:tcPr>
          <w:p w14:paraId="43CB0607">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竞赛内容</w:t>
            </w:r>
          </w:p>
        </w:tc>
      </w:tr>
      <w:tr w14:paraId="6A03B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33" w:type="dxa"/>
            <w:tcBorders>
              <w:top w:val="single" w:color="auto" w:sz="4" w:space="0"/>
              <w:left w:val="single" w:color="auto" w:sz="4" w:space="0"/>
              <w:right w:val="single" w:color="auto" w:sz="4" w:space="0"/>
            </w:tcBorders>
            <w:vAlign w:val="center"/>
          </w:tcPr>
          <w:p w14:paraId="17E25C9D">
            <w:pPr>
              <w:pStyle w:val="2"/>
              <w:spacing w:line="400" w:lineRule="exact"/>
              <w:rPr>
                <w:rFonts w:hint="eastAsia" w:ascii="仿宋_GB2312" w:hAnsi="仿宋_GB2312" w:eastAsia="仿宋_GB2312" w:cs="仿宋_GB2312"/>
                <w:color w:val="auto"/>
                <w:sz w:val="28"/>
                <w:szCs w:val="28"/>
                <w:lang w:eastAsia="zh-CN"/>
              </w:rPr>
            </w:pPr>
            <w:bookmarkStart w:id="2" w:name="_Hlk520708908"/>
            <w:r>
              <w:rPr>
                <w:rFonts w:hint="eastAsia" w:ascii="仿宋_GB2312" w:hAnsi="仿宋_GB2312" w:eastAsia="仿宋_GB2312" w:cs="仿宋_GB2312"/>
                <w:color w:val="auto"/>
                <w:sz w:val="28"/>
                <w:szCs w:val="28"/>
                <w:lang w:eastAsia="zh-CN"/>
              </w:rPr>
              <w:t>基础知识</w:t>
            </w:r>
            <w:bookmarkEnd w:id="2"/>
          </w:p>
        </w:tc>
        <w:tc>
          <w:tcPr>
            <w:tcW w:w="1431" w:type="dxa"/>
            <w:tcBorders>
              <w:top w:val="single" w:color="auto" w:sz="4" w:space="0"/>
              <w:left w:val="single" w:color="auto" w:sz="4" w:space="0"/>
              <w:bottom w:val="single" w:color="auto" w:sz="4" w:space="0"/>
              <w:right w:val="single" w:color="auto" w:sz="4" w:space="0"/>
            </w:tcBorders>
            <w:vAlign w:val="center"/>
          </w:tcPr>
          <w:p w14:paraId="62079E7E">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法律法规及规程</w:t>
            </w:r>
          </w:p>
        </w:tc>
        <w:tc>
          <w:tcPr>
            <w:tcW w:w="5825" w:type="dxa"/>
            <w:tcBorders>
              <w:top w:val="single" w:color="auto" w:sz="4" w:space="0"/>
              <w:left w:val="single" w:color="auto" w:sz="4" w:space="0"/>
              <w:bottom w:val="single" w:color="auto" w:sz="4" w:space="0"/>
              <w:right w:val="single" w:color="auto" w:sz="4" w:space="0"/>
            </w:tcBorders>
            <w:vAlign w:val="center"/>
          </w:tcPr>
          <w:p w14:paraId="59582F19">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—《特种设备安全法》、有关法律、法规、国家标准及集装箱堆高机的基本知识</w:t>
            </w:r>
          </w:p>
          <w:p w14:paraId="2713BE6E">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—相关维修规程规范</w:t>
            </w:r>
          </w:p>
          <w:p w14:paraId="3B7D4E77">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—《起重机械安全技术规程》（TSG 51-2023）</w:t>
            </w:r>
          </w:p>
          <w:p w14:paraId="5137F02A">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—《用电安全导则》（GB/T 13869）</w:t>
            </w:r>
          </w:p>
          <w:p w14:paraId="6A05594A">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—《场（厂）内专用机动车辆安全技术规程》TSG 81-2022</w:t>
            </w:r>
          </w:p>
          <w:p w14:paraId="6A3F6A82">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—《集装箱堆高机》（GB/T 26945-2023）</w:t>
            </w:r>
          </w:p>
          <w:p w14:paraId="1DE5FC62">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—《非道路移动机械柴油机排放污染物排放限制及测量方法（中国第三，四阶段）》GB20891-2014（III/IV）</w:t>
            </w:r>
          </w:p>
          <w:p w14:paraId="1B0FF872">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—《非道路柴油移动机械排气烟度限值及测试方法》GB36886-2018</w:t>
            </w:r>
          </w:p>
          <w:p w14:paraId="4EBAF3C5">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—国家职业技能标准，工程机械维修工</w:t>
            </w:r>
          </w:p>
          <w:p w14:paraId="7526BBE8">
            <w:pPr>
              <w:pStyle w:val="2"/>
              <w:spacing w:line="400" w:lineRule="exact"/>
              <w:ind w:left="560" w:hanging="560" w:hangingChars="20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—《特种设备作业人员监督管理办法》、《特种设备安全监察条例》等相关法律、法规知识</w:t>
            </w:r>
          </w:p>
        </w:tc>
      </w:tr>
      <w:tr w14:paraId="5ABA0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33" w:type="dxa"/>
            <w:vMerge w:val="restart"/>
            <w:tcBorders>
              <w:top w:val="single" w:color="auto" w:sz="4" w:space="0"/>
              <w:left w:val="single" w:color="auto" w:sz="4" w:space="0"/>
              <w:right w:val="single" w:color="auto" w:sz="4" w:space="0"/>
            </w:tcBorders>
            <w:vAlign w:val="center"/>
          </w:tcPr>
          <w:p w14:paraId="2A90B33A">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专业知识</w:t>
            </w:r>
          </w:p>
        </w:tc>
        <w:tc>
          <w:tcPr>
            <w:tcW w:w="1431" w:type="dxa"/>
            <w:tcBorders>
              <w:top w:val="single" w:color="auto" w:sz="4" w:space="0"/>
              <w:left w:val="single" w:color="auto" w:sz="4" w:space="0"/>
              <w:bottom w:val="single" w:color="auto" w:sz="4" w:space="0"/>
              <w:right w:val="single" w:color="auto" w:sz="4" w:space="0"/>
            </w:tcBorders>
            <w:vAlign w:val="center"/>
          </w:tcPr>
          <w:p w14:paraId="0C3885B3">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机械及驱动桥转向桥、液压机构</w:t>
            </w:r>
          </w:p>
        </w:tc>
        <w:tc>
          <w:tcPr>
            <w:tcW w:w="5825" w:type="dxa"/>
            <w:tcBorders>
              <w:top w:val="single" w:color="auto" w:sz="4" w:space="0"/>
              <w:left w:val="single" w:color="auto" w:sz="4" w:space="0"/>
              <w:bottom w:val="single" w:color="auto" w:sz="4" w:space="0"/>
              <w:right w:val="single" w:color="auto" w:sz="4" w:space="0"/>
            </w:tcBorders>
            <w:vAlign w:val="center"/>
          </w:tcPr>
          <w:p w14:paraId="6F6DDE65">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—集装箱堆高机机械液压基础及专业知识考核</w:t>
            </w:r>
          </w:p>
          <w:p w14:paraId="64F9B5A3">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—集装箱堆高机机械液压维修规程,规范考核—集装箱堆高机机械液压维修安全知识技能考核</w:t>
            </w:r>
          </w:p>
        </w:tc>
      </w:tr>
      <w:tr w14:paraId="725C1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33" w:type="dxa"/>
            <w:vMerge w:val="continue"/>
            <w:tcBorders>
              <w:left w:val="single" w:color="auto" w:sz="4" w:space="0"/>
              <w:right w:val="single" w:color="auto" w:sz="4" w:space="0"/>
            </w:tcBorders>
            <w:vAlign w:val="center"/>
          </w:tcPr>
          <w:p w14:paraId="2E74CB84">
            <w:pPr>
              <w:pStyle w:val="2"/>
              <w:spacing w:line="400" w:lineRule="exact"/>
              <w:rPr>
                <w:rFonts w:hint="eastAsia" w:ascii="仿宋_GB2312" w:hAnsi="仿宋_GB2312" w:eastAsia="仿宋_GB2312" w:cs="仿宋_GB2312"/>
                <w:color w:val="auto"/>
                <w:sz w:val="28"/>
                <w:szCs w:val="28"/>
                <w:lang w:eastAsia="zh-CN"/>
              </w:rPr>
            </w:pPr>
          </w:p>
        </w:tc>
        <w:tc>
          <w:tcPr>
            <w:tcW w:w="1431" w:type="dxa"/>
            <w:tcBorders>
              <w:top w:val="single" w:color="auto" w:sz="4" w:space="0"/>
              <w:left w:val="single" w:color="auto" w:sz="4" w:space="0"/>
              <w:bottom w:val="single" w:color="auto" w:sz="4" w:space="0"/>
              <w:right w:val="single" w:color="auto" w:sz="4" w:space="0"/>
            </w:tcBorders>
            <w:vAlign w:val="center"/>
          </w:tcPr>
          <w:p w14:paraId="51B05FBE">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电气、发动机、变速箱机构</w:t>
            </w:r>
          </w:p>
        </w:tc>
        <w:tc>
          <w:tcPr>
            <w:tcW w:w="5825" w:type="dxa"/>
            <w:tcBorders>
              <w:top w:val="single" w:color="auto" w:sz="4" w:space="0"/>
              <w:left w:val="single" w:color="auto" w:sz="4" w:space="0"/>
              <w:bottom w:val="single" w:color="auto" w:sz="4" w:space="0"/>
              <w:right w:val="single" w:color="auto" w:sz="4" w:space="0"/>
            </w:tcBorders>
            <w:vAlign w:val="center"/>
          </w:tcPr>
          <w:p w14:paraId="7655DF3A">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—集装箱堆高机电气、发动机、变速箱基础及专业知识考核</w:t>
            </w:r>
          </w:p>
          <w:p w14:paraId="5761A0CA">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—集装箱堆高机电气、发动机、变速箱、维修规程及规范考核</w:t>
            </w:r>
          </w:p>
          <w:p w14:paraId="576254CD">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—集装箱堆高机电气、发动机、变速箱维修安全知识技能考核</w:t>
            </w:r>
          </w:p>
        </w:tc>
      </w:tr>
      <w:tr w14:paraId="470B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33" w:type="dxa"/>
            <w:vMerge w:val="continue"/>
            <w:tcBorders>
              <w:left w:val="single" w:color="auto" w:sz="4" w:space="0"/>
              <w:right w:val="single" w:color="auto" w:sz="4" w:space="0"/>
            </w:tcBorders>
            <w:vAlign w:val="center"/>
          </w:tcPr>
          <w:p w14:paraId="52636623">
            <w:pPr>
              <w:pStyle w:val="2"/>
              <w:spacing w:line="400" w:lineRule="exact"/>
              <w:rPr>
                <w:rFonts w:hint="eastAsia" w:ascii="仿宋_GB2312" w:hAnsi="仿宋_GB2312" w:eastAsia="仿宋_GB2312" w:cs="仿宋_GB2312"/>
                <w:color w:val="auto"/>
                <w:sz w:val="28"/>
                <w:szCs w:val="28"/>
                <w:lang w:eastAsia="zh-CN"/>
              </w:rPr>
            </w:pPr>
          </w:p>
        </w:tc>
        <w:tc>
          <w:tcPr>
            <w:tcW w:w="1431" w:type="dxa"/>
            <w:tcBorders>
              <w:top w:val="single" w:color="auto" w:sz="4" w:space="0"/>
              <w:left w:val="single" w:color="auto" w:sz="4" w:space="0"/>
              <w:bottom w:val="single" w:color="auto" w:sz="4" w:space="0"/>
              <w:right w:val="single" w:color="auto" w:sz="4" w:space="0"/>
            </w:tcBorders>
            <w:vAlign w:val="center"/>
          </w:tcPr>
          <w:p w14:paraId="4A523A2F">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设备故障处理知识考核</w:t>
            </w:r>
          </w:p>
        </w:tc>
        <w:tc>
          <w:tcPr>
            <w:tcW w:w="5825" w:type="dxa"/>
            <w:tcBorders>
              <w:top w:val="single" w:color="auto" w:sz="4" w:space="0"/>
              <w:left w:val="single" w:color="auto" w:sz="4" w:space="0"/>
              <w:bottom w:val="single" w:color="auto" w:sz="4" w:space="0"/>
              <w:right w:val="single" w:color="auto" w:sz="4" w:space="0"/>
            </w:tcBorders>
            <w:vAlign w:val="center"/>
          </w:tcPr>
          <w:p w14:paraId="4F8F0560">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—集装箱堆高机机械维修特殊事件应急处理常识考核</w:t>
            </w:r>
          </w:p>
          <w:p w14:paraId="3CCE07B8">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—集装箱堆高机机械日常维修，检查保养及抢修故障排除基本知识考核</w:t>
            </w:r>
          </w:p>
        </w:tc>
      </w:tr>
      <w:tr w14:paraId="57CAF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433" w:type="dxa"/>
            <w:tcBorders>
              <w:top w:val="single" w:color="auto" w:sz="4" w:space="0"/>
              <w:left w:val="single" w:color="auto" w:sz="4" w:space="0"/>
              <w:right w:val="single" w:color="auto" w:sz="4" w:space="0"/>
            </w:tcBorders>
            <w:vAlign w:val="center"/>
          </w:tcPr>
          <w:p w14:paraId="0C45554F">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相关知识</w:t>
            </w:r>
          </w:p>
        </w:tc>
        <w:tc>
          <w:tcPr>
            <w:tcW w:w="1431" w:type="dxa"/>
            <w:tcBorders>
              <w:top w:val="single" w:color="auto" w:sz="4" w:space="0"/>
              <w:left w:val="single" w:color="auto" w:sz="4" w:space="0"/>
              <w:right w:val="single" w:color="auto" w:sz="4" w:space="0"/>
            </w:tcBorders>
            <w:vAlign w:val="center"/>
          </w:tcPr>
          <w:p w14:paraId="5AE667F4">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安全环保</w:t>
            </w:r>
          </w:p>
        </w:tc>
        <w:tc>
          <w:tcPr>
            <w:tcW w:w="5825" w:type="dxa"/>
            <w:tcBorders>
              <w:top w:val="single" w:color="auto" w:sz="4" w:space="0"/>
              <w:left w:val="single" w:color="auto" w:sz="4" w:space="0"/>
              <w:bottom w:val="single" w:color="auto" w:sz="4" w:space="0"/>
              <w:right w:val="single" w:color="auto" w:sz="4" w:space="0"/>
            </w:tcBorders>
            <w:vAlign w:val="center"/>
          </w:tcPr>
          <w:p w14:paraId="542ED494">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—劳保用品的生产标准和使用要求</w:t>
            </w:r>
          </w:p>
          <w:p w14:paraId="239E22E9">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—油漆的使用、运输和存放</w:t>
            </w:r>
          </w:p>
          <w:p w14:paraId="04AE02C4">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—设备及操作事故处理流程及注意事项</w:t>
            </w:r>
          </w:p>
          <w:p w14:paraId="22ACBC92">
            <w:pPr>
              <w:pStyle w:val="2"/>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—维保人员伤害和设备起火的应急处理流程和预案</w:t>
            </w:r>
          </w:p>
        </w:tc>
      </w:tr>
    </w:tbl>
    <w:p w14:paraId="214CC900">
      <w:pPr>
        <w:widowControl w:val="0"/>
        <w:kinsoku/>
        <w:autoSpaceDE/>
        <w:autoSpaceDN/>
        <w:spacing w:line="580" w:lineRule="exact"/>
        <w:ind w:firstLine="640" w:firstLineChars="200"/>
        <w:jc w:val="both"/>
        <w:textAlignment w:val="auto"/>
        <w:rPr>
          <w:rFonts w:hint="eastAsia" w:ascii="楷体_GB2312" w:hAnsi="楷体_GB2312" w:eastAsia="楷体_GB2312" w:cs="楷体_GB2312"/>
          <w:snapToGrid/>
          <w:color w:val="auto"/>
          <w:kern w:val="2"/>
          <w:sz w:val="32"/>
          <w:szCs w:val="32"/>
          <w:lang w:eastAsia="zh-CN"/>
        </w:rPr>
      </w:pPr>
      <w:r>
        <w:rPr>
          <w:rFonts w:hint="eastAsia" w:ascii="楷体_GB2312" w:hAnsi="楷体_GB2312" w:eastAsia="楷体_GB2312" w:cs="楷体_GB2312"/>
          <w:snapToGrid/>
          <w:color w:val="auto"/>
          <w:kern w:val="2"/>
          <w:sz w:val="32"/>
          <w:szCs w:val="32"/>
          <w:lang w:eastAsia="zh-CN"/>
        </w:rPr>
        <w:t>（二）决赛</w:t>
      </w:r>
    </w:p>
    <w:p w14:paraId="19C7CF68">
      <w:pPr>
        <w:widowControl w:val="0"/>
        <w:kinsoku/>
        <w:autoSpaceDE/>
        <w:autoSpaceDN/>
        <w:spacing w:line="560" w:lineRule="exact"/>
        <w:ind w:firstLine="627" w:firstLineChars="196"/>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由组委会组织专家参照竞赛标准命题，各组选手按赛场提供的实操任务书以现场实际操作的方式完成</w:t>
      </w:r>
      <w:r>
        <w:rPr>
          <w:rFonts w:hint="eastAsia" w:ascii="仿宋_GB2312" w:hAnsi="仿宋_GB2312" w:eastAsia="仿宋_GB2312" w:cs="仿宋_GB2312"/>
          <w:sz w:val="32"/>
          <w:szCs w:val="32"/>
          <w:lang w:eastAsia="zh-CN"/>
        </w:rPr>
        <w:t>部件设置、故障处理</w:t>
      </w:r>
      <w:r>
        <w:rPr>
          <w:rFonts w:hint="eastAsia" w:ascii="仿宋_GB2312" w:hAnsi="仿宋_GB2312" w:eastAsia="仿宋_GB2312" w:cs="仿宋_GB2312"/>
          <w:color w:val="auto"/>
          <w:sz w:val="32"/>
          <w:szCs w:val="32"/>
          <w:lang w:eastAsia="zh-CN"/>
        </w:rPr>
        <w:t>。各组竞赛时间均为60分钟，满分为100分。具体内容如下：</w:t>
      </w:r>
    </w:p>
    <w:p w14:paraId="216C8A6C">
      <w:pPr>
        <w:widowControl w:val="0"/>
        <w:kinsoku/>
        <w:autoSpaceDE/>
        <w:autoSpaceDN/>
        <w:spacing w:line="560" w:lineRule="exact"/>
        <w:ind w:firstLine="627" w:firstLineChars="196"/>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bookmarkStart w:id="3" w:name="_Hlk195082996"/>
      <w:r>
        <w:rPr>
          <w:rFonts w:hint="eastAsia" w:ascii="仿宋_GB2312" w:hAnsi="仿宋_GB2312" w:eastAsia="仿宋_GB2312" w:cs="仿宋_GB2312"/>
          <w:sz w:val="32"/>
          <w:szCs w:val="32"/>
          <w:lang w:eastAsia="zh-CN"/>
        </w:rPr>
        <w:t>部件设置</w:t>
      </w:r>
      <w:bookmarkEnd w:id="3"/>
      <w:r>
        <w:rPr>
          <w:rFonts w:hint="eastAsia" w:ascii="仿宋_GB2312" w:hAnsi="仿宋_GB2312" w:eastAsia="仿宋_GB2312" w:cs="仿宋_GB2312"/>
          <w:sz w:val="32"/>
          <w:szCs w:val="32"/>
          <w:lang w:eastAsia="zh-CN"/>
        </w:rPr>
        <w:t>：</w:t>
      </w:r>
      <w:bookmarkStart w:id="4" w:name="_Hlk194570016"/>
      <w:r>
        <w:rPr>
          <w:rFonts w:hint="eastAsia" w:ascii="仿宋_GB2312" w:hAnsi="仿宋_GB2312" w:eastAsia="仿宋_GB2312" w:cs="仿宋_GB2312"/>
          <w:sz w:val="32"/>
          <w:szCs w:val="32"/>
          <w:lang w:eastAsia="zh-CN"/>
        </w:rPr>
        <w:t>针对设备某部件按照正确的规范</w:t>
      </w:r>
      <w:bookmarkEnd w:id="4"/>
      <w:r>
        <w:rPr>
          <w:rFonts w:hint="eastAsia" w:ascii="仿宋_GB2312" w:hAnsi="仿宋_GB2312" w:eastAsia="仿宋_GB2312" w:cs="仿宋_GB2312"/>
          <w:sz w:val="32"/>
          <w:szCs w:val="32"/>
          <w:lang w:eastAsia="zh-CN"/>
        </w:rPr>
        <w:t>，规程进行调校，保证设备的安全操作要求。</w:t>
      </w:r>
    </w:p>
    <w:p w14:paraId="5C070934">
      <w:pPr>
        <w:widowControl w:val="0"/>
        <w:kinsoku/>
        <w:autoSpaceDE/>
        <w:autoSpaceDN/>
        <w:spacing w:line="560" w:lineRule="exact"/>
        <w:ind w:firstLine="627" w:firstLineChars="196"/>
        <w:textAlignment w:val="auto"/>
        <w:rPr>
          <w:rFonts w:hint="eastAsia" w:cs="仿宋_GB2312" w:asciiTheme="minorEastAsia" w:hAnsiTheme="minorEastAsia" w:eastAsiaTheme="minorEastAsia"/>
          <w:sz w:val="28"/>
          <w:szCs w:val="28"/>
          <w:lang w:eastAsia="zh-CN"/>
        </w:rPr>
      </w:pPr>
      <w:r>
        <w:rPr>
          <w:rFonts w:hint="eastAsia" w:ascii="仿宋_GB2312" w:hAnsi="仿宋_GB2312" w:eastAsia="仿宋_GB2312" w:cs="仿宋_GB2312"/>
          <w:sz w:val="32"/>
          <w:szCs w:val="32"/>
          <w:lang w:eastAsia="zh-CN"/>
        </w:rPr>
        <w:t>2.故障处理：针对设备某部件出现的异常情况进行综合分析，研究进行解决，并恢复到设备正常安全操作状态。</w:t>
      </w:r>
    </w:p>
    <w:p w14:paraId="14F90408">
      <w:pPr>
        <w:widowControl w:val="0"/>
        <w:kinsoku/>
        <w:autoSpaceDE/>
        <w:autoSpaceDN/>
        <w:spacing w:line="56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三、评分标准</w:t>
      </w:r>
    </w:p>
    <w:p w14:paraId="301C6F37">
      <w:pPr>
        <w:widowControl w:val="0"/>
        <w:kinsoku/>
        <w:autoSpaceDE/>
        <w:autoSpaceDN/>
        <w:spacing w:line="560" w:lineRule="exact"/>
        <w:ind w:firstLine="627" w:firstLineChars="196"/>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（一）分数权重</w:t>
      </w:r>
    </w:p>
    <w:tbl>
      <w:tblPr>
        <w:tblStyle w:val="16"/>
        <w:tblW w:w="81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4"/>
        <w:gridCol w:w="2690"/>
        <w:gridCol w:w="1688"/>
        <w:gridCol w:w="1225"/>
        <w:gridCol w:w="1584"/>
        <w:gridCol w:w="9"/>
      </w:tblGrid>
      <w:tr w14:paraId="29A44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460" w:hRule="atLeast"/>
          <w:jc w:val="center"/>
        </w:trPr>
        <w:tc>
          <w:tcPr>
            <w:tcW w:w="954" w:type="dxa"/>
            <w:tcBorders>
              <w:bottom w:val="single" w:color="auto" w:sz="4" w:space="0"/>
            </w:tcBorders>
            <w:vAlign w:val="center"/>
          </w:tcPr>
          <w:p w14:paraId="4DE34F52">
            <w:pPr>
              <w:spacing w:line="400" w:lineRule="exact"/>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赛程</w:t>
            </w:r>
          </w:p>
        </w:tc>
        <w:tc>
          <w:tcPr>
            <w:tcW w:w="2690" w:type="dxa"/>
            <w:vAlign w:val="center"/>
          </w:tcPr>
          <w:p w14:paraId="2466DB6D">
            <w:pPr>
              <w:spacing w:line="400" w:lineRule="exact"/>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竞赛内容</w:t>
            </w:r>
          </w:p>
        </w:tc>
        <w:tc>
          <w:tcPr>
            <w:tcW w:w="2913" w:type="dxa"/>
            <w:gridSpan w:val="2"/>
            <w:vAlign w:val="center"/>
          </w:tcPr>
          <w:p w14:paraId="18FCA7E3">
            <w:pPr>
              <w:spacing w:line="400" w:lineRule="exact"/>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rPr>
              <w:t>配分</w:t>
            </w:r>
            <w:r>
              <w:rPr>
                <w:rFonts w:hint="eastAsia" w:ascii="仿宋_GB2312" w:hAnsi="仿宋_GB2312" w:eastAsia="仿宋_GB2312" w:cs="仿宋_GB2312"/>
                <w:b/>
                <w:bCs/>
                <w:color w:val="auto"/>
                <w:sz w:val="28"/>
                <w:szCs w:val="28"/>
                <w:lang w:eastAsia="zh-CN"/>
              </w:rPr>
              <w:t>（分）</w:t>
            </w:r>
          </w:p>
        </w:tc>
        <w:tc>
          <w:tcPr>
            <w:tcW w:w="1584" w:type="dxa"/>
            <w:vAlign w:val="center"/>
          </w:tcPr>
          <w:p w14:paraId="2FC1674A">
            <w:pPr>
              <w:spacing w:line="400" w:lineRule="exact"/>
              <w:jc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rPr>
              <w:t>权重</w:t>
            </w:r>
            <w:r>
              <w:rPr>
                <w:rFonts w:hint="eastAsia" w:ascii="仿宋_GB2312" w:hAnsi="仿宋_GB2312" w:eastAsia="仿宋_GB2312" w:cs="仿宋_GB2312"/>
                <w:b/>
                <w:bCs/>
                <w:color w:val="auto"/>
                <w:sz w:val="28"/>
                <w:szCs w:val="28"/>
                <w:lang w:eastAsia="zh-CN"/>
              </w:rPr>
              <w:t>（%）</w:t>
            </w:r>
          </w:p>
        </w:tc>
      </w:tr>
      <w:tr w14:paraId="4C04E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419" w:hRule="atLeast"/>
          <w:jc w:val="center"/>
        </w:trPr>
        <w:tc>
          <w:tcPr>
            <w:tcW w:w="954" w:type="dxa"/>
            <w:tcBorders>
              <w:top w:val="single" w:color="auto" w:sz="4" w:space="0"/>
              <w:left w:val="single" w:color="auto" w:sz="4" w:space="0"/>
              <w:bottom w:val="single" w:color="auto" w:sz="4" w:space="0"/>
              <w:right w:val="single" w:color="auto" w:sz="4" w:space="0"/>
            </w:tcBorders>
            <w:vAlign w:val="center"/>
          </w:tcPr>
          <w:p w14:paraId="1D7A26C2">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初赛</w:t>
            </w:r>
          </w:p>
        </w:tc>
        <w:tc>
          <w:tcPr>
            <w:tcW w:w="2690" w:type="dxa"/>
            <w:tcBorders>
              <w:left w:val="single" w:color="auto" w:sz="4" w:space="0"/>
            </w:tcBorders>
            <w:vAlign w:val="center"/>
          </w:tcPr>
          <w:p w14:paraId="722D9E11">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color w:val="auto"/>
                <w:sz w:val="28"/>
                <w:szCs w:val="28"/>
                <w:lang w:eastAsia="zh-CN"/>
              </w:rPr>
              <w:t>理论知识</w:t>
            </w:r>
          </w:p>
        </w:tc>
        <w:tc>
          <w:tcPr>
            <w:tcW w:w="2913" w:type="dxa"/>
            <w:gridSpan w:val="2"/>
            <w:vAlign w:val="center"/>
          </w:tcPr>
          <w:p w14:paraId="5B15D7DA">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100</w:t>
            </w:r>
          </w:p>
        </w:tc>
        <w:tc>
          <w:tcPr>
            <w:tcW w:w="1584" w:type="dxa"/>
            <w:vAlign w:val="center"/>
          </w:tcPr>
          <w:p w14:paraId="7006B2C4">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30</w:t>
            </w:r>
          </w:p>
        </w:tc>
      </w:tr>
      <w:tr w14:paraId="5F459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192" w:hRule="atLeast"/>
          <w:jc w:val="center"/>
        </w:trPr>
        <w:tc>
          <w:tcPr>
            <w:tcW w:w="954" w:type="dxa"/>
            <w:vMerge w:val="restart"/>
            <w:tcBorders>
              <w:top w:val="single" w:color="auto" w:sz="4" w:space="0"/>
              <w:left w:val="single" w:color="auto" w:sz="4" w:space="0"/>
              <w:right w:val="single" w:color="auto" w:sz="4" w:space="0"/>
            </w:tcBorders>
            <w:vAlign w:val="center"/>
          </w:tcPr>
          <w:p w14:paraId="73A9419A">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决赛</w:t>
            </w:r>
          </w:p>
        </w:tc>
        <w:tc>
          <w:tcPr>
            <w:tcW w:w="2690" w:type="dxa"/>
            <w:tcBorders>
              <w:left w:val="single" w:color="auto" w:sz="4" w:space="0"/>
              <w:bottom w:val="single" w:color="auto" w:sz="4" w:space="0"/>
            </w:tcBorders>
            <w:vAlign w:val="center"/>
          </w:tcPr>
          <w:p w14:paraId="3F46B678">
            <w:pPr>
              <w:kinsoku/>
              <w:autoSpaceDE/>
              <w:autoSpaceDN/>
              <w:adjustRightInd/>
              <w:snapToGrid/>
              <w:spacing w:line="40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snapToGrid/>
                <w:color w:val="auto"/>
                <w:sz w:val="28"/>
                <w:szCs w:val="28"/>
                <w:lang w:eastAsia="zh-CN"/>
              </w:rPr>
              <w:t>部件设置</w:t>
            </w:r>
          </w:p>
        </w:tc>
        <w:tc>
          <w:tcPr>
            <w:tcW w:w="1688" w:type="dxa"/>
            <w:tcBorders>
              <w:bottom w:val="single" w:color="auto" w:sz="4" w:space="0"/>
              <w:right w:val="single" w:color="auto" w:sz="4" w:space="0"/>
            </w:tcBorders>
            <w:vAlign w:val="center"/>
          </w:tcPr>
          <w:p w14:paraId="16D2E772">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100</w:t>
            </w:r>
          </w:p>
        </w:tc>
        <w:tc>
          <w:tcPr>
            <w:tcW w:w="1225" w:type="dxa"/>
            <w:tcBorders>
              <w:left w:val="single" w:color="auto" w:sz="4" w:space="0"/>
            </w:tcBorders>
            <w:vAlign w:val="center"/>
          </w:tcPr>
          <w:p w14:paraId="3405CFB0">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40%</w:t>
            </w:r>
          </w:p>
        </w:tc>
        <w:tc>
          <w:tcPr>
            <w:tcW w:w="1584" w:type="dxa"/>
            <w:vMerge w:val="restart"/>
            <w:vAlign w:val="center"/>
          </w:tcPr>
          <w:p w14:paraId="5DFD7385">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70</w:t>
            </w:r>
          </w:p>
        </w:tc>
      </w:tr>
      <w:tr w14:paraId="6A4E4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9" w:type="dxa"/>
          <w:trHeight w:val="90" w:hRule="atLeast"/>
          <w:jc w:val="center"/>
        </w:trPr>
        <w:tc>
          <w:tcPr>
            <w:tcW w:w="954" w:type="dxa"/>
            <w:vMerge w:val="continue"/>
            <w:tcBorders>
              <w:left w:val="single" w:color="auto" w:sz="4" w:space="0"/>
              <w:right w:val="single" w:color="auto" w:sz="4" w:space="0"/>
            </w:tcBorders>
            <w:vAlign w:val="center"/>
          </w:tcPr>
          <w:p w14:paraId="0B581A48">
            <w:pPr>
              <w:kinsoku/>
              <w:autoSpaceDE/>
              <w:autoSpaceDN/>
              <w:adjustRightInd/>
              <w:snapToGrid/>
              <w:spacing w:line="400" w:lineRule="exact"/>
              <w:ind w:firstLine="280" w:firstLineChars="100"/>
              <w:jc w:val="center"/>
              <w:textAlignment w:val="auto"/>
              <w:rPr>
                <w:rFonts w:hint="eastAsia" w:ascii="仿宋_GB2312" w:hAnsi="仿宋_GB2312" w:eastAsia="仿宋_GB2312" w:cs="仿宋_GB2312"/>
                <w:snapToGrid/>
                <w:color w:val="auto"/>
                <w:sz w:val="28"/>
                <w:szCs w:val="28"/>
                <w:lang w:eastAsia="zh-CN"/>
              </w:rPr>
            </w:pPr>
          </w:p>
        </w:tc>
        <w:tc>
          <w:tcPr>
            <w:tcW w:w="2690" w:type="dxa"/>
            <w:tcBorders>
              <w:top w:val="single" w:color="auto" w:sz="4" w:space="0"/>
              <w:left w:val="single" w:color="auto" w:sz="4" w:space="0"/>
            </w:tcBorders>
            <w:vAlign w:val="center"/>
          </w:tcPr>
          <w:p w14:paraId="4DF505BC">
            <w:pPr>
              <w:kinsoku/>
              <w:autoSpaceDE/>
              <w:autoSpaceDN/>
              <w:adjustRightInd/>
              <w:snapToGrid/>
              <w:spacing w:line="40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snapToGrid/>
                <w:color w:val="auto"/>
                <w:sz w:val="28"/>
                <w:szCs w:val="28"/>
                <w:lang w:eastAsia="zh-CN"/>
              </w:rPr>
              <w:t>故障处理</w:t>
            </w:r>
          </w:p>
        </w:tc>
        <w:tc>
          <w:tcPr>
            <w:tcW w:w="1688" w:type="dxa"/>
            <w:tcBorders>
              <w:top w:val="single" w:color="auto" w:sz="4" w:space="0"/>
              <w:right w:val="single" w:color="auto" w:sz="4" w:space="0"/>
            </w:tcBorders>
            <w:vAlign w:val="center"/>
          </w:tcPr>
          <w:p w14:paraId="4BE9E55F">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100</w:t>
            </w:r>
          </w:p>
        </w:tc>
        <w:tc>
          <w:tcPr>
            <w:tcW w:w="1225" w:type="dxa"/>
            <w:tcBorders>
              <w:left w:val="single" w:color="auto" w:sz="4" w:space="0"/>
            </w:tcBorders>
            <w:vAlign w:val="center"/>
          </w:tcPr>
          <w:p w14:paraId="671152D0">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60%</w:t>
            </w:r>
          </w:p>
        </w:tc>
        <w:tc>
          <w:tcPr>
            <w:tcW w:w="1584" w:type="dxa"/>
            <w:vMerge w:val="continue"/>
            <w:vAlign w:val="center"/>
          </w:tcPr>
          <w:p w14:paraId="1EA2E595">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p>
        </w:tc>
      </w:tr>
      <w:tr w14:paraId="170B1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jc w:val="center"/>
        </w:trPr>
        <w:tc>
          <w:tcPr>
            <w:tcW w:w="6557" w:type="dxa"/>
            <w:gridSpan w:val="4"/>
            <w:tcBorders>
              <w:right w:val="single" w:color="auto" w:sz="4" w:space="0"/>
            </w:tcBorders>
          </w:tcPr>
          <w:p w14:paraId="590BDF61">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合计</w:t>
            </w:r>
          </w:p>
        </w:tc>
        <w:tc>
          <w:tcPr>
            <w:tcW w:w="1593" w:type="dxa"/>
            <w:gridSpan w:val="2"/>
            <w:tcBorders>
              <w:left w:val="single" w:color="auto" w:sz="4" w:space="0"/>
            </w:tcBorders>
          </w:tcPr>
          <w:p w14:paraId="37857CA2">
            <w:pPr>
              <w:kinsoku/>
              <w:autoSpaceDE/>
              <w:autoSpaceDN/>
              <w:adjustRightInd/>
              <w:snapToGrid/>
              <w:spacing w:line="400" w:lineRule="exact"/>
              <w:jc w:val="center"/>
              <w:textAlignment w:val="auto"/>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100</w:t>
            </w:r>
          </w:p>
        </w:tc>
      </w:tr>
    </w:tbl>
    <w:tbl>
      <w:tblPr>
        <w:tblStyle w:val="11"/>
        <w:tblpPr w:leftFromText="180" w:rightFromText="180" w:vertAnchor="text" w:tblpX="10211" w:tblpY="-3127"/>
        <w:tblOverlap w:val="never"/>
        <w:tblW w:w="26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8"/>
        <w:gridCol w:w="38"/>
      </w:tblGrid>
      <w:tr w14:paraId="16BE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8" w:type="dxa"/>
          <w:trHeight w:val="30" w:hRule="atLeast"/>
        </w:trPr>
        <w:tc>
          <w:tcPr>
            <w:tcW w:w="2648" w:type="dxa"/>
          </w:tcPr>
          <w:p w14:paraId="1FA4F7AB">
            <w:pPr>
              <w:widowControl w:val="0"/>
              <w:numPr>
                <w:ilvl w:val="0"/>
                <w:numId w:val="1"/>
              </w:numPr>
              <w:kinsoku/>
              <w:autoSpaceDE/>
              <w:autoSpaceDN/>
              <w:spacing w:line="580" w:lineRule="exact"/>
              <w:jc w:val="both"/>
              <w:textAlignment w:val="auto"/>
              <w:rPr>
                <w:rFonts w:hint="eastAsia" w:cs="Times New Roman" w:asciiTheme="minorEastAsia" w:hAnsiTheme="minorEastAsia" w:eastAsiaTheme="minorEastAsia"/>
                <w:snapToGrid/>
                <w:color w:val="auto"/>
                <w:kern w:val="2"/>
                <w:sz w:val="28"/>
                <w:szCs w:val="28"/>
                <w:lang w:eastAsia="zh-CN"/>
              </w:rPr>
            </w:pPr>
          </w:p>
        </w:tc>
      </w:tr>
      <w:tr w14:paraId="50A6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686" w:type="dxa"/>
            <w:gridSpan w:val="2"/>
          </w:tcPr>
          <w:p w14:paraId="17EBEB19">
            <w:pPr>
              <w:widowControl w:val="0"/>
              <w:numPr>
                <w:ilvl w:val="0"/>
                <w:numId w:val="1"/>
              </w:numPr>
              <w:kinsoku/>
              <w:autoSpaceDE/>
              <w:autoSpaceDN/>
              <w:spacing w:line="580" w:lineRule="exact"/>
              <w:jc w:val="both"/>
              <w:textAlignment w:val="auto"/>
              <w:rPr>
                <w:rFonts w:hint="eastAsia" w:cs="Times New Roman" w:asciiTheme="minorEastAsia" w:hAnsiTheme="minorEastAsia" w:eastAsiaTheme="minorEastAsia"/>
                <w:snapToGrid/>
                <w:color w:val="auto"/>
                <w:kern w:val="2"/>
                <w:sz w:val="28"/>
                <w:szCs w:val="28"/>
                <w:lang w:eastAsia="zh-CN"/>
              </w:rPr>
            </w:pPr>
          </w:p>
        </w:tc>
      </w:tr>
    </w:tbl>
    <w:tbl>
      <w:tblPr>
        <w:tblStyle w:val="11"/>
        <w:tblpPr w:leftFromText="180" w:rightFromText="180" w:vertAnchor="text" w:tblpX="10211" w:tblpY="-171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11"/>
      </w:tblGrid>
      <w:tr w14:paraId="11D0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511" w:type="dxa"/>
          </w:tcPr>
          <w:p w14:paraId="2A942EB1">
            <w:pPr>
              <w:widowControl w:val="0"/>
              <w:numPr>
                <w:ilvl w:val="0"/>
                <w:numId w:val="1"/>
              </w:numPr>
              <w:kinsoku/>
              <w:autoSpaceDE/>
              <w:autoSpaceDN/>
              <w:spacing w:line="580" w:lineRule="exact"/>
              <w:jc w:val="both"/>
              <w:textAlignment w:val="auto"/>
              <w:rPr>
                <w:rFonts w:hint="eastAsia" w:cs="Times New Roman" w:asciiTheme="minorEastAsia" w:hAnsiTheme="minorEastAsia" w:eastAsiaTheme="minorEastAsia"/>
                <w:snapToGrid/>
                <w:color w:val="auto"/>
                <w:kern w:val="2"/>
                <w:sz w:val="28"/>
                <w:szCs w:val="28"/>
                <w:lang w:eastAsia="zh-CN"/>
              </w:rPr>
            </w:pPr>
          </w:p>
        </w:tc>
      </w:tr>
    </w:tbl>
    <w:p w14:paraId="753F0825">
      <w:pPr>
        <w:widowControl w:val="0"/>
        <w:kinsoku/>
        <w:autoSpaceDE/>
        <w:autoSpaceDN/>
        <w:spacing w:line="560" w:lineRule="exact"/>
        <w:ind w:firstLine="627" w:firstLineChars="196"/>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（二）评分标准</w:t>
      </w:r>
    </w:p>
    <w:p w14:paraId="0E28778B">
      <w:pPr>
        <w:widowControl w:val="0"/>
        <w:kinsoku/>
        <w:autoSpaceDE/>
        <w:autoSpaceDN/>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napToGrid/>
          <w:color w:val="auto"/>
          <w:sz w:val="32"/>
          <w:szCs w:val="32"/>
          <w:lang w:eastAsia="zh-CN"/>
        </w:rPr>
        <w:t>1.初赛</w:t>
      </w:r>
      <w:r>
        <w:rPr>
          <w:rFonts w:hint="eastAsia" w:ascii="仿宋_GB2312" w:hAnsi="仿宋_GB2312" w:eastAsia="仿宋_GB2312" w:cs="仿宋_GB2312"/>
          <w:color w:val="auto"/>
          <w:sz w:val="32"/>
          <w:szCs w:val="32"/>
          <w:lang w:eastAsia="zh-CN"/>
        </w:rPr>
        <w:t>采用人工阅卷方式，按标准答案进行分数评定。其中，单选题50题，每题1分；多选题20题，每题2分；判断题10题，每题1分。各题型错选、多选或少选均不得分。</w:t>
      </w:r>
    </w:p>
    <w:p w14:paraId="417ECBF7">
      <w:pPr>
        <w:widowControl w:val="0"/>
        <w:kinsoku/>
        <w:autoSpaceDE/>
        <w:autoSpaceDN/>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2.决赛评分标准。决赛由裁判根据现场评分表评分，评分标准配分细则以现场评分表为准，评分标准如下：</w:t>
      </w:r>
    </w:p>
    <w:p w14:paraId="38638C9C">
      <w:pPr>
        <w:widowControl w:val="0"/>
        <w:kinsoku/>
        <w:autoSpaceDE/>
        <w:autoSpaceDN/>
        <w:spacing w:line="580" w:lineRule="exact"/>
        <w:ind w:firstLine="640" w:firstLineChars="20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岸吊部件设置评分标准</w:t>
      </w:r>
    </w:p>
    <w:tbl>
      <w:tblPr>
        <w:tblStyle w:val="11"/>
        <w:tblW w:w="9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1"/>
        <w:gridCol w:w="3663"/>
        <w:gridCol w:w="812"/>
        <w:gridCol w:w="3865"/>
      </w:tblGrid>
      <w:tr w14:paraId="78B5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231" w:type="dxa"/>
            <w:noWrap/>
            <w:vAlign w:val="center"/>
          </w:tcPr>
          <w:p w14:paraId="5E161A41">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类别</w:t>
            </w:r>
          </w:p>
        </w:tc>
        <w:tc>
          <w:tcPr>
            <w:tcW w:w="3663" w:type="dxa"/>
            <w:vAlign w:val="center"/>
          </w:tcPr>
          <w:p w14:paraId="10FA2ACC">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评分标准</w:t>
            </w:r>
          </w:p>
        </w:tc>
        <w:tc>
          <w:tcPr>
            <w:tcW w:w="812" w:type="dxa"/>
            <w:noWrap/>
            <w:vAlign w:val="center"/>
          </w:tcPr>
          <w:p w14:paraId="68489F43">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配分</w:t>
            </w:r>
          </w:p>
        </w:tc>
        <w:tc>
          <w:tcPr>
            <w:tcW w:w="3865" w:type="dxa"/>
            <w:noWrap/>
            <w:vAlign w:val="center"/>
          </w:tcPr>
          <w:p w14:paraId="4512AE4C">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备注说明</w:t>
            </w:r>
          </w:p>
        </w:tc>
      </w:tr>
      <w:tr w14:paraId="726D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231" w:type="dxa"/>
            <w:noWrap/>
            <w:vAlign w:val="center"/>
          </w:tcPr>
          <w:p w14:paraId="645A119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w:t>
            </w:r>
          </w:p>
        </w:tc>
        <w:tc>
          <w:tcPr>
            <w:tcW w:w="3663" w:type="dxa"/>
            <w:vAlign w:val="center"/>
          </w:tcPr>
          <w:p w14:paraId="6E6232C2">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个人劳保用品及周围环境安全判断</w:t>
            </w:r>
          </w:p>
          <w:p w14:paraId="4842394F">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(安全帽,劳保鞋,反光工衣)</w:t>
            </w:r>
          </w:p>
        </w:tc>
        <w:tc>
          <w:tcPr>
            <w:tcW w:w="812" w:type="dxa"/>
            <w:noWrap/>
            <w:vAlign w:val="center"/>
          </w:tcPr>
          <w:p w14:paraId="2F9D56DB">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65" w:type="dxa"/>
            <w:vAlign w:val="center"/>
          </w:tcPr>
          <w:p w14:paraId="4219CA27">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安全帽,劳保鞋,反光工衣缺失一项扣除2分，没有正确佩戴扣除1分,累加</w:t>
            </w:r>
          </w:p>
        </w:tc>
      </w:tr>
      <w:tr w14:paraId="3B2EB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noWrap/>
            <w:vAlign w:val="center"/>
          </w:tcPr>
          <w:p w14:paraId="5DE49F8D">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沟通</w:t>
            </w:r>
          </w:p>
        </w:tc>
        <w:tc>
          <w:tcPr>
            <w:tcW w:w="3663" w:type="dxa"/>
            <w:vAlign w:val="center"/>
          </w:tcPr>
          <w:p w14:paraId="26C9D60A">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开工前后与司机沟通</w:t>
            </w:r>
          </w:p>
        </w:tc>
        <w:tc>
          <w:tcPr>
            <w:tcW w:w="812" w:type="dxa"/>
            <w:noWrap/>
            <w:vAlign w:val="center"/>
          </w:tcPr>
          <w:p w14:paraId="2825141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noWrap/>
            <w:vAlign w:val="center"/>
          </w:tcPr>
          <w:p w14:paraId="3180F473">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没有飞电等直接沟通，扣除5分</w:t>
            </w:r>
          </w:p>
        </w:tc>
      </w:tr>
      <w:tr w14:paraId="02F80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31" w:type="dxa"/>
            <w:vMerge w:val="restart"/>
            <w:noWrap/>
            <w:vAlign w:val="center"/>
          </w:tcPr>
          <w:p w14:paraId="098E1FD8">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过程</w:t>
            </w:r>
          </w:p>
        </w:tc>
        <w:tc>
          <w:tcPr>
            <w:tcW w:w="3663" w:type="dxa"/>
            <w:vAlign w:val="center"/>
          </w:tcPr>
          <w:p w14:paraId="2C684BE1">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开工前安全措施到位</w:t>
            </w:r>
          </w:p>
        </w:tc>
        <w:tc>
          <w:tcPr>
            <w:tcW w:w="812" w:type="dxa"/>
            <w:vAlign w:val="center"/>
          </w:tcPr>
          <w:p w14:paraId="3833C93C">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65" w:type="dxa"/>
            <w:vAlign w:val="center"/>
          </w:tcPr>
          <w:p w14:paraId="35BBDC1D">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上设备没翻维修牌，扣除5分, 安全防范措施,没拍紧停扣除5分</w:t>
            </w:r>
          </w:p>
        </w:tc>
      </w:tr>
      <w:tr w14:paraId="6B614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00E93AA0">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0E7AB15F">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正确使用工具</w:t>
            </w:r>
          </w:p>
        </w:tc>
        <w:tc>
          <w:tcPr>
            <w:tcW w:w="812" w:type="dxa"/>
            <w:vAlign w:val="center"/>
          </w:tcPr>
          <w:p w14:paraId="13F3383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vAlign w:val="center"/>
          </w:tcPr>
          <w:p w14:paraId="74BF565E">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2F54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0E7D2AFA">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72E6651A">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正确设置标准及掌握程度</w:t>
            </w:r>
          </w:p>
        </w:tc>
        <w:tc>
          <w:tcPr>
            <w:tcW w:w="812" w:type="dxa"/>
            <w:vAlign w:val="center"/>
          </w:tcPr>
          <w:p w14:paraId="0BC17DB3">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65" w:type="dxa"/>
            <w:vAlign w:val="center"/>
          </w:tcPr>
          <w:p w14:paraId="18FFFB32">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4A145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31" w:type="dxa"/>
            <w:vMerge w:val="continue"/>
            <w:vAlign w:val="center"/>
          </w:tcPr>
          <w:p w14:paraId="53C15D1A">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3C1D90C0">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正确设置顺序</w:t>
            </w:r>
          </w:p>
        </w:tc>
        <w:tc>
          <w:tcPr>
            <w:tcW w:w="812" w:type="dxa"/>
            <w:vAlign w:val="center"/>
          </w:tcPr>
          <w:p w14:paraId="5546FB94">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65" w:type="dxa"/>
            <w:vAlign w:val="center"/>
          </w:tcPr>
          <w:p w14:paraId="1F2E30D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每调错一次在本题的总成绩中扣5分，累计调错三次，终止本题的后续考核</w:t>
            </w:r>
          </w:p>
        </w:tc>
      </w:tr>
      <w:tr w14:paraId="20FD8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31" w:type="dxa"/>
            <w:vMerge w:val="continue"/>
            <w:vAlign w:val="center"/>
          </w:tcPr>
          <w:p w14:paraId="08E501FF">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548A4503">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某部件设置后试机</w:t>
            </w:r>
          </w:p>
        </w:tc>
        <w:tc>
          <w:tcPr>
            <w:tcW w:w="812" w:type="dxa"/>
            <w:vAlign w:val="center"/>
          </w:tcPr>
          <w:p w14:paraId="578678D4">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noWrap/>
            <w:vAlign w:val="center"/>
          </w:tcPr>
          <w:p w14:paraId="5CD636B4">
            <w:pPr>
              <w:pStyle w:val="2"/>
              <w:widowControl w:val="0"/>
              <w:spacing w:line="400" w:lineRule="exact"/>
              <w:jc w:val="both"/>
              <w:rPr>
                <w:rFonts w:hint="eastAsia" w:ascii="仿宋_GB2312" w:hAnsi="仿宋_GB2312" w:eastAsia="仿宋_GB2312" w:cs="仿宋_GB2312"/>
                <w:snapToGrid/>
                <w:sz w:val="28"/>
                <w:szCs w:val="28"/>
                <w:lang w:eastAsia="zh-CN"/>
              </w:rPr>
            </w:pPr>
          </w:p>
        </w:tc>
      </w:tr>
      <w:tr w14:paraId="56F0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385D7A0B">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751FC578">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联系司机试机，确认工作完成</w:t>
            </w:r>
          </w:p>
        </w:tc>
        <w:tc>
          <w:tcPr>
            <w:tcW w:w="812" w:type="dxa"/>
            <w:vAlign w:val="center"/>
          </w:tcPr>
          <w:p w14:paraId="5EE785C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noWrap/>
            <w:vAlign w:val="center"/>
          </w:tcPr>
          <w:p w14:paraId="73030C03">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没沟通司机交机，扣除2分</w:t>
            </w:r>
          </w:p>
        </w:tc>
      </w:tr>
      <w:tr w14:paraId="7144A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restart"/>
            <w:noWrap/>
            <w:vAlign w:val="center"/>
          </w:tcPr>
          <w:p w14:paraId="6B17526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收尾工作</w:t>
            </w:r>
          </w:p>
        </w:tc>
        <w:tc>
          <w:tcPr>
            <w:tcW w:w="3663" w:type="dxa"/>
            <w:vAlign w:val="center"/>
          </w:tcPr>
          <w:p w14:paraId="78C190C2">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工具是否收拾齐全</w:t>
            </w:r>
          </w:p>
        </w:tc>
        <w:tc>
          <w:tcPr>
            <w:tcW w:w="812" w:type="dxa"/>
            <w:noWrap/>
            <w:vAlign w:val="center"/>
          </w:tcPr>
          <w:p w14:paraId="34DB642E">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noWrap/>
            <w:vAlign w:val="center"/>
          </w:tcPr>
          <w:p w14:paraId="5F9EFC5F">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遗留工具，扣除5分</w:t>
            </w:r>
          </w:p>
        </w:tc>
      </w:tr>
      <w:tr w14:paraId="6243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7134C6F1">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Align w:val="center"/>
          </w:tcPr>
          <w:p w14:paraId="10C1046A">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现场整理清洁</w:t>
            </w:r>
          </w:p>
        </w:tc>
        <w:tc>
          <w:tcPr>
            <w:tcW w:w="812" w:type="dxa"/>
            <w:noWrap/>
            <w:vAlign w:val="center"/>
          </w:tcPr>
          <w:p w14:paraId="57D30988">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65" w:type="dxa"/>
            <w:noWrap/>
            <w:vAlign w:val="center"/>
          </w:tcPr>
          <w:p w14:paraId="56219AFE">
            <w:pPr>
              <w:pStyle w:val="2"/>
              <w:widowControl w:val="0"/>
              <w:spacing w:line="400" w:lineRule="exact"/>
              <w:jc w:val="both"/>
              <w:rPr>
                <w:rFonts w:hint="eastAsia" w:ascii="仿宋_GB2312" w:hAnsi="仿宋_GB2312" w:eastAsia="仿宋_GB2312" w:cs="仿宋_GB2312"/>
                <w:snapToGrid/>
                <w:sz w:val="28"/>
                <w:szCs w:val="28"/>
                <w:lang w:eastAsia="zh-CN"/>
              </w:rPr>
            </w:pPr>
          </w:p>
        </w:tc>
      </w:tr>
      <w:tr w14:paraId="45F6B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restart"/>
            <w:noWrap/>
            <w:vAlign w:val="center"/>
          </w:tcPr>
          <w:p w14:paraId="64036C4E">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时间</w:t>
            </w:r>
          </w:p>
        </w:tc>
        <w:tc>
          <w:tcPr>
            <w:tcW w:w="3663" w:type="dxa"/>
            <w:vMerge w:val="restart"/>
            <w:vAlign w:val="center"/>
          </w:tcPr>
          <w:p w14:paraId="725ECD37">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工作速度及效率</w:t>
            </w:r>
          </w:p>
        </w:tc>
        <w:tc>
          <w:tcPr>
            <w:tcW w:w="812" w:type="dxa"/>
            <w:vMerge w:val="restart"/>
            <w:noWrap/>
            <w:vAlign w:val="center"/>
          </w:tcPr>
          <w:p w14:paraId="39F3B1DD">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65" w:type="dxa"/>
            <w:vAlign w:val="center"/>
          </w:tcPr>
          <w:p w14:paraId="54FB40ED">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以25分钟完成为基准0分</w:t>
            </w:r>
          </w:p>
        </w:tc>
      </w:tr>
      <w:tr w14:paraId="1D9CB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249F4920">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Merge w:val="continue"/>
            <w:vAlign w:val="center"/>
          </w:tcPr>
          <w:p w14:paraId="0DC509E0">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812" w:type="dxa"/>
            <w:vMerge w:val="continue"/>
            <w:vAlign w:val="center"/>
          </w:tcPr>
          <w:p w14:paraId="5B188128">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865" w:type="dxa"/>
            <w:vAlign w:val="center"/>
          </w:tcPr>
          <w:p w14:paraId="561FD0DE">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用时超过25分钟，本项不得分</w:t>
            </w:r>
          </w:p>
        </w:tc>
      </w:tr>
      <w:tr w14:paraId="3969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31" w:type="dxa"/>
            <w:vMerge w:val="continue"/>
            <w:vAlign w:val="center"/>
          </w:tcPr>
          <w:p w14:paraId="2173E557">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663" w:type="dxa"/>
            <w:vMerge w:val="continue"/>
            <w:vAlign w:val="center"/>
          </w:tcPr>
          <w:p w14:paraId="7631F8DE">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812" w:type="dxa"/>
            <w:vMerge w:val="continue"/>
            <w:vAlign w:val="center"/>
          </w:tcPr>
          <w:p w14:paraId="76255AAD">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865" w:type="dxa"/>
            <w:vAlign w:val="center"/>
          </w:tcPr>
          <w:p w14:paraId="12148CC5">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每提前1分钟得2分,满分20分</w:t>
            </w:r>
          </w:p>
        </w:tc>
      </w:tr>
      <w:tr w14:paraId="0147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31" w:type="dxa"/>
            <w:noWrap/>
            <w:vAlign w:val="center"/>
          </w:tcPr>
          <w:p w14:paraId="120AF9A2">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总评</w:t>
            </w:r>
          </w:p>
        </w:tc>
        <w:tc>
          <w:tcPr>
            <w:tcW w:w="8340" w:type="dxa"/>
            <w:gridSpan w:val="3"/>
            <w:noWrap/>
            <w:vAlign w:val="center"/>
          </w:tcPr>
          <w:p w14:paraId="4A177745">
            <w:pPr>
              <w:pStyle w:val="2"/>
              <w:widowControl w:val="0"/>
              <w:spacing w:line="400" w:lineRule="exact"/>
              <w:jc w:val="center"/>
              <w:rPr>
                <w:rFonts w:hint="eastAsia" w:ascii="仿宋_GB2312" w:hAnsi="仿宋_GB2312" w:eastAsia="仿宋_GB2312" w:cs="仿宋_GB2312"/>
                <w:snapToGrid/>
                <w:sz w:val="28"/>
                <w:szCs w:val="28"/>
                <w:lang w:eastAsia="zh-CN"/>
              </w:rPr>
            </w:pPr>
          </w:p>
        </w:tc>
      </w:tr>
    </w:tbl>
    <w:p w14:paraId="2C3FD23D">
      <w:pPr>
        <w:kinsoku/>
        <w:autoSpaceDE/>
        <w:autoSpaceDN/>
        <w:adjustRightInd/>
        <w:snapToGrid/>
        <w:spacing w:line="560" w:lineRule="exact"/>
        <w:jc w:val="center"/>
        <w:textAlignment w:val="auto"/>
        <w:rPr>
          <w:rFonts w:hint="eastAsia" w:ascii="仿宋_GB2312" w:hAnsi="仿宋_GB2312" w:eastAsia="仿宋_GB2312" w:cs="仿宋_GB2312"/>
          <w:snapToGrid/>
          <w:sz w:val="32"/>
          <w:szCs w:val="32"/>
          <w:lang w:eastAsia="zh-CN"/>
        </w:rPr>
      </w:pPr>
    </w:p>
    <w:p w14:paraId="27713DBD">
      <w:pPr>
        <w:kinsoku/>
        <w:autoSpaceDE/>
        <w:autoSpaceDN/>
        <w:adjustRightInd/>
        <w:snapToGrid/>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napToGrid/>
          <w:sz w:val="32"/>
          <w:szCs w:val="32"/>
          <w:lang w:eastAsia="zh-CN"/>
        </w:rPr>
        <w:t>岸吊</w:t>
      </w:r>
      <w:r>
        <w:rPr>
          <w:rFonts w:hint="eastAsia" w:ascii="仿宋_GB2312" w:hAnsi="仿宋_GB2312" w:eastAsia="仿宋_GB2312" w:cs="仿宋_GB2312"/>
          <w:sz w:val="32"/>
          <w:szCs w:val="32"/>
          <w:lang w:eastAsia="zh-CN"/>
        </w:rPr>
        <w:t>故障处理评分标准</w:t>
      </w:r>
    </w:p>
    <w:tbl>
      <w:tblPr>
        <w:tblStyle w:val="11"/>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3028"/>
        <w:gridCol w:w="788"/>
        <w:gridCol w:w="4082"/>
      </w:tblGrid>
      <w:tr w14:paraId="05AF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696" w:type="dxa"/>
            <w:noWrap/>
            <w:vAlign w:val="center"/>
          </w:tcPr>
          <w:p w14:paraId="3E5A36E4">
            <w:pPr>
              <w:pStyle w:val="2"/>
              <w:widowControl w:val="0"/>
              <w:spacing w:line="400" w:lineRule="exact"/>
              <w:jc w:val="center"/>
              <w:rPr>
                <w:rFonts w:hint="eastAsia" w:ascii="仿宋_GB2312" w:hAnsi="仿宋_GB2312" w:eastAsia="仿宋_GB2312" w:cs="仿宋_GB2312"/>
                <w:snapToGrid/>
                <w:sz w:val="28"/>
                <w:szCs w:val="28"/>
                <w:lang w:eastAsia="zh-CN"/>
              </w:rPr>
            </w:pPr>
            <w:bookmarkStart w:id="5" w:name="_Hlk195101955"/>
            <w:r>
              <w:rPr>
                <w:rFonts w:hint="eastAsia" w:ascii="仿宋_GB2312" w:hAnsi="仿宋_GB2312" w:eastAsia="仿宋_GB2312" w:cs="仿宋_GB2312"/>
                <w:snapToGrid/>
                <w:sz w:val="28"/>
                <w:szCs w:val="28"/>
                <w:lang w:eastAsia="zh-CN"/>
              </w:rPr>
              <w:t>类别</w:t>
            </w:r>
          </w:p>
        </w:tc>
        <w:tc>
          <w:tcPr>
            <w:tcW w:w="3028" w:type="dxa"/>
            <w:vAlign w:val="center"/>
          </w:tcPr>
          <w:p w14:paraId="25F8A601">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评分标准</w:t>
            </w:r>
          </w:p>
        </w:tc>
        <w:tc>
          <w:tcPr>
            <w:tcW w:w="788" w:type="dxa"/>
            <w:noWrap/>
            <w:vAlign w:val="center"/>
          </w:tcPr>
          <w:p w14:paraId="4F05360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配分</w:t>
            </w:r>
          </w:p>
        </w:tc>
        <w:tc>
          <w:tcPr>
            <w:tcW w:w="4082" w:type="dxa"/>
            <w:noWrap/>
            <w:vAlign w:val="center"/>
          </w:tcPr>
          <w:p w14:paraId="15F57C56">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备注说明</w:t>
            </w:r>
          </w:p>
        </w:tc>
      </w:tr>
      <w:tr w14:paraId="31BA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96" w:type="dxa"/>
            <w:noWrap/>
            <w:vAlign w:val="center"/>
          </w:tcPr>
          <w:p w14:paraId="41F3311F">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w:t>
            </w:r>
          </w:p>
        </w:tc>
        <w:tc>
          <w:tcPr>
            <w:tcW w:w="3028" w:type="dxa"/>
            <w:vAlign w:val="center"/>
          </w:tcPr>
          <w:p w14:paraId="29B056F8">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个人劳保用品及周围环境安全判断(安全帽,劳保鞋,反光工衣)</w:t>
            </w:r>
          </w:p>
        </w:tc>
        <w:tc>
          <w:tcPr>
            <w:tcW w:w="788" w:type="dxa"/>
            <w:noWrap/>
            <w:vAlign w:val="center"/>
          </w:tcPr>
          <w:p w14:paraId="6D05205D">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4082" w:type="dxa"/>
            <w:vAlign w:val="center"/>
          </w:tcPr>
          <w:p w14:paraId="78B7796E">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安全帽,劳保鞋,反光工衣缺失一项扣除2分，没有正确佩戴扣除1分，累加</w:t>
            </w:r>
          </w:p>
        </w:tc>
      </w:tr>
      <w:tr w14:paraId="65361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noWrap/>
            <w:vAlign w:val="center"/>
          </w:tcPr>
          <w:p w14:paraId="5940A23E">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沟通</w:t>
            </w:r>
          </w:p>
        </w:tc>
        <w:tc>
          <w:tcPr>
            <w:tcW w:w="3028" w:type="dxa"/>
            <w:vAlign w:val="center"/>
          </w:tcPr>
          <w:p w14:paraId="1F9D1A2A">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开工前后与司机沟通</w:t>
            </w:r>
          </w:p>
        </w:tc>
        <w:tc>
          <w:tcPr>
            <w:tcW w:w="788" w:type="dxa"/>
            <w:noWrap/>
            <w:vAlign w:val="center"/>
          </w:tcPr>
          <w:p w14:paraId="6901777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noWrap/>
            <w:vAlign w:val="center"/>
          </w:tcPr>
          <w:p w14:paraId="78516254">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没有飞电等直接沟通，扣除5分</w:t>
            </w:r>
          </w:p>
        </w:tc>
      </w:tr>
      <w:tr w14:paraId="4CFC1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vMerge w:val="restart"/>
            <w:noWrap/>
            <w:vAlign w:val="center"/>
          </w:tcPr>
          <w:p w14:paraId="670F8198">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过程</w:t>
            </w:r>
          </w:p>
        </w:tc>
        <w:tc>
          <w:tcPr>
            <w:tcW w:w="3028" w:type="dxa"/>
            <w:vAlign w:val="center"/>
          </w:tcPr>
          <w:p w14:paraId="58EB9343">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开工前安全措施到位</w:t>
            </w:r>
          </w:p>
        </w:tc>
        <w:tc>
          <w:tcPr>
            <w:tcW w:w="788" w:type="dxa"/>
            <w:vAlign w:val="center"/>
          </w:tcPr>
          <w:p w14:paraId="607D5285">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vAlign w:val="center"/>
          </w:tcPr>
          <w:p w14:paraId="42D3A8B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上设备没翻维修牌，扣除5分</w:t>
            </w:r>
          </w:p>
        </w:tc>
      </w:tr>
      <w:tr w14:paraId="0DB12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96" w:type="dxa"/>
            <w:vMerge w:val="continue"/>
            <w:vAlign w:val="center"/>
          </w:tcPr>
          <w:p w14:paraId="7D7C575E">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2630A36A">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确定为故障机构范围，打开电脑PLC程序,重新核对</w:t>
            </w:r>
          </w:p>
        </w:tc>
        <w:tc>
          <w:tcPr>
            <w:tcW w:w="788" w:type="dxa"/>
            <w:vAlign w:val="center"/>
          </w:tcPr>
          <w:p w14:paraId="32F9F37F">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4082" w:type="dxa"/>
            <w:vAlign w:val="center"/>
          </w:tcPr>
          <w:p w14:paraId="39FF2EBF">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（通过电脑PLC查故障或I/O模块输入点变化）</w:t>
            </w:r>
          </w:p>
        </w:tc>
      </w:tr>
      <w:tr w14:paraId="2E28F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96" w:type="dxa"/>
            <w:vMerge w:val="continue"/>
            <w:vAlign w:val="center"/>
          </w:tcPr>
          <w:p w14:paraId="602024BE">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4C2E7818">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程序中确认故障,电气线路图检查回路</w:t>
            </w:r>
          </w:p>
        </w:tc>
        <w:tc>
          <w:tcPr>
            <w:tcW w:w="788" w:type="dxa"/>
            <w:vAlign w:val="center"/>
          </w:tcPr>
          <w:p w14:paraId="2DC22037">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4082" w:type="dxa"/>
            <w:vAlign w:val="center"/>
          </w:tcPr>
          <w:p w14:paraId="0B5A9C40">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674F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96" w:type="dxa"/>
            <w:vMerge w:val="continue"/>
            <w:vAlign w:val="center"/>
          </w:tcPr>
          <w:p w14:paraId="743AB2FD">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0AF1981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实际线路排查，找到故障点</w:t>
            </w:r>
          </w:p>
        </w:tc>
        <w:tc>
          <w:tcPr>
            <w:tcW w:w="788" w:type="dxa"/>
            <w:vAlign w:val="center"/>
          </w:tcPr>
          <w:p w14:paraId="7164475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4082" w:type="dxa"/>
            <w:vAlign w:val="center"/>
          </w:tcPr>
          <w:p w14:paraId="2F122CDA">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3054E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696" w:type="dxa"/>
            <w:vMerge w:val="continue"/>
            <w:vAlign w:val="center"/>
          </w:tcPr>
          <w:p w14:paraId="6B983BAB">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4A360DAD">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 xml:space="preserve">安全措施(先验电)，后接入线措施 </w:t>
            </w:r>
          </w:p>
        </w:tc>
        <w:tc>
          <w:tcPr>
            <w:tcW w:w="788" w:type="dxa"/>
            <w:vAlign w:val="center"/>
          </w:tcPr>
          <w:p w14:paraId="16B777BF">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noWrap/>
            <w:vAlign w:val="center"/>
          </w:tcPr>
          <w:p w14:paraId="1779A252">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没有验电，扣除5分</w:t>
            </w:r>
          </w:p>
        </w:tc>
      </w:tr>
      <w:tr w14:paraId="4AE75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vMerge w:val="continue"/>
            <w:vAlign w:val="center"/>
          </w:tcPr>
          <w:p w14:paraId="43FB048B">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0FEA304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联系司机试机，确认工作完成</w:t>
            </w:r>
          </w:p>
        </w:tc>
        <w:tc>
          <w:tcPr>
            <w:tcW w:w="788" w:type="dxa"/>
            <w:vAlign w:val="center"/>
          </w:tcPr>
          <w:p w14:paraId="264AB6DC">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noWrap/>
            <w:vAlign w:val="center"/>
          </w:tcPr>
          <w:p w14:paraId="1B55F010">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没沟通司机交机，扣除2分</w:t>
            </w:r>
          </w:p>
        </w:tc>
      </w:tr>
      <w:tr w14:paraId="0AA7E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vMerge w:val="restart"/>
            <w:noWrap/>
            <w:vAlign w:val="center"/>
          </w:tcPr>
          <w:p w14:paraId="28E76B8B">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收尾工作</w:t>
            </w:r>
          </w:p>
        </w:tc>
        <w:tc>
          <w:tcPr>
            <w:tcW w:w="3028" w:type="dxa"/>
            <w:vAlign w:val="center"/>
          </w:tcPr>
          <w:p w14:paraId="51158338">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工具是否收拾齐全</w:t>
            </w:r>
          </w:p>
        </w:tc>
        <w:tc>
          <w:tcPr>
            <w:tcW w:w="788" w:type="dxa"/>
            <w:noWrap/>
            <w:vAlign w:val="center"/>
          </w:tcPr>
          <w:p w14:paraId="4157DF6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noWrap/>
            <w:vAlign w:val="center"/>
          </w:tcPr>
          <w:p w14:paraId="63212C28">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遗留工具，扣除5分</w:t>
            </w:r>
          </w:p>
        </w:tc>
      </w:tr>
      <w:tr w14:paraId="4FC7C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vMerge w:val="continue"/>
            <w:vAlign w:val="center"/>
          </w:tcPr>
          <w:p w14:paraId="65B8B918">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Align w:val="center"/>
          </w:tcPr>
          <w:p w14:paraId="7AA1AD40">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现场整理清洁</w:t>
            </w:r>
          </w:p>
        </w:tc>
        <w:tc>
          <w:tcPr>
            <w:tcW w:w="788" w:type="dxa"/>
            <w:noWrap/>
            <w:vAlign w:val="center"/>
          </w:tcPr>
          <w:p w14:paraId="278060CB">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4082" w:type="dxa"/>
            <w:noWrap/>
            <w:vAlign w:val="center"/>
          </w:tcPr>
          <w:p w14:paraId="030E1EFF">
            <w:pPr>
              <w:pStyle w:val="2"/>
              <w:widowControl w:val="0"/>
              <w:spacing w:line="400" w:lineRule="exact"/>
              <w:jc w:val="both"/>
              <w:rPr>
                <w:rFonts w:hint="eastAsia" w:ascii="仿宋_GB2312" w:hAnsi="仿宋_GB2312" w:eastAsia="仿宋_GB2312" w:cs="仿宋_GB2312"/>
                <w:snapToGrid/>
                <w:sz w:val="28"/>
                <w:szCs w:val="28"/>
                <w:lang w:eastAsia="zh-CN"/>
              </w:rPr>
            </w:pPr>
          </w:p>
        </w:tc>
      </w:tr>
      <w:tr w14:paraId="2B0E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96" w:type="dxa"/>
            <w:vMerge w:val="restart"/>
            <w:noWrap/>
            <w:vAlign w:val="center"/>
          </w:tcPr>
          <w:p w14:paraId="3E656746">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时间</w:t>
            </w:r>
          </w:p>
        </w:tc>
        <w:tc>
          <w:tcPr>
            <w:tcW w:w="3028" w:type="dxa"/>
            <w:vMerge w:val="restart"/>
            <w:vAlign w:val="center"/>
          </w:tcPr>
          <w:p w14:paraId="5337ACB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工作速度及效率</w:t>
            </w:r>
          </w:p>
        </w:tc>
        <w:tc>
          <w:tcPr>
            <w:tcW w:w="788" w:type="dxa"/>
            <w:vMerge w:val="restart"/>
            <w:noWrap/>
            <w:vAlign w:val="center"/>
          </w:tcPr>
          <w:p w14:paraId="19E8C7FD">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4082" w:type="dxa"/>
            <w:vAlign w:val="center"/>
          </w:tcPr>
          <w:p w14:paraId="124CE58B">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以25分钟完成为基准0分</w:t>
            </w:r>
          </w:p>
        </w:tc>
      </w:tr>
      <w:tr w14:paraId="2910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696" w:type="dxa"/>
            <w:vMerge w:val="continue"/>
            <w:vAlign w:val="center"/>
          </w:tcPr>
          <w:p w14:paraId="6E3161C2">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Merge w:val="continue"/>
            <w:vAlign w:val="center"/>
          </w:tcPr>
          <w:p w14:paraId="778035D3">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788" w:type="dxa"/>
            <w:vMerge w:val="continue"/>
            <w:vAlign w:val="center"/>
          </w:tcPr>
          <w:p w14:paraId="0C9DE4A7">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4082" w:type="dxa"/>
            <w:vAlign w:val="center"/>
          </w:tcPr>
          <w:p w14:paraId="20599E08">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用时超过25分钟，本项不得分</w:t>
            </w:r>
          </w:p>
        </w:tc>
      </w:tr>
      <w:tr w14:paraId="5A78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vMerge w:val="continue"/>
            <w:vAlign w:val="center"/>
          </w:tcPr>
          <w:p w14:paraId="730129BE">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028" w:type="dxa"/>
            <w:vMerge w:val="continue"/>
            <w:vAlign w:val="center"/>
          </w:tcPr>
          <w:p w14:paraId="0EAB5550">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788" w:type="dxa"/>
            <w:vMerge w:val="continue"/>
            <w:vAlign w:val="center"/>
          </w:tcPr>
          <w:p w14:paraId="5DF49821">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4082" w:type="dxa"/>
            <w:vAlign w:val="center"/>
          </w:tcPr>
          <w:p w14:paraId="0B7D216D">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每提前1分钟得2分,满分20分</w:t>
            </w:r>
          </w:p>
        </w:tc>
      </w:tr>
      <w:tr w14:paraId="4C9B0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696" w:type="dxa"/>
            <w:noWrap/>
            <w:vAlign w:val="center"/>
          </w:tcPr>
          <w:p w14:paraId="4CA17523">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总评</w:t>
            </w:r>
          </w:p>
        </w:tc>
        <w:tc>
          <w:tcPr>
            <w:tcW w:w="7898" w:type="dxa"/>
            <w:gridSpan w:val="3"/>
            <w:noWrap/>
            <w:vAlign w:val="center"/>
          </w:tcPr>
          <w:p w14:paraId="6917AED5">
            <w:pPr>
              <w:pStyle w:val="2"/>
              <w:widowControl w:val="0"/>
              <w:spacing w:line="400" w:lineRule="exact"/>
              <w:jc w:val="center"/>
              <w:rPr>
                <w:rFonts w:hint="eastAsia" w:ascii="仿宋_GB2312" w:hAnsi="仿宋_GB2312" w:eastAsia="仿宋_GB2312" w:cs="仿宋_GB2312"/>
                <w:snapToGrid/>
                <w:sz w:val="28"/>
                <w:szCs w:val="28"/>
                <w:lang w:eastAsia="zh-CN"/>
              </w:rPr>
            </w:pPr>
          </w:p>
        </w:tc>
      </w:tr>
      <w:bookmarkEnd w:id="5"/>
    </w:tbl>
    <w:p w14:paraId="72C96C50">
      <w:pPr>
        <w:pStyle w:val="2"/>
        <w:jc w:val="center"/>
        <w:rPr>
          <w:rFonts w:hint="eastAsia" w:ascii="仿宋_GB2312" w:hAnsi="仿宋_GB2312" w:eastAsia="仿宋_GB2312" w:cs="仿宋_GB2312"/>
          <w:snapToGrid/>
          <w:sz w:val="32"/>
          <w:szCs w:val="32"/>
          <w:lang w:eastAsia="zh-CN"/>
        </w:rPr>
      </w:pPr>
      <w:r>
        <w:rPr>
          <w:rFonts w:hint="eastAsia" w:ascii="仿宋_GB2312" w:hAnsi="仿宋_GB2312" w:eastAsia="仿宋_GB2312" w:cs="仿宋_GB2312"/>
          <w:snapToGrid/>
          <w:sz w:val="32"/>
          <w:szCs w:val="32"/>
          <w:lang w:eastAsia="zh-CN"/>
        </w:rPr>
        <w:t>龙门吊部件设置评分标准</w:t>
      </w:r>
    </w:p>
    <w:tbl>
      <w:tblPr>
        <w:tblStyle w:val="11"/>
        <w:tblW w:w="94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3412"/>
        <w:gridCol w:w="838"/>
        <w:gridCol w:w="3829"/>
      </w:tblGrid>
      <w:tr w14:paraId="0BA66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noWrap/>
            <w:vAlign w:val="center"/>
          </w:tcPr>
          <w:p w14:paraId="344D24F6">
            <w:pPr>
              <w:pStyle w:val="2"/>
              <w:widowControl w:val="0"/>
              <w:spacing w:line="400" w:lineRule="exact"/>
              <w:jc w:val="center"/>
              <w:rPr>
                <w:rFonts w:hint="eastAsia" w:ascii="仿宋_GB2312" w:hAnsi="仿宋_GB2312" w:eastAsia="仿宋_GB2312" w:cs="仿宋_GB2312"/>
                <w:snapToGrid/>
                <w:sz w:val="28"/>
                <w:szCs w:val="28"/>
                <w:lang w:eastAsia="zh-CN"/>
              </w:rPr>
            </w:pPr>
            <w:bookmarkStart w:id="6" w:name="_Hlk195101668"/>
            <w:r>
              <w:rPr>
                <w:rFonts w:hint="eastAsia" w:ascii="仿宋_GB2312" w:hAnsi="仿宋_GB2312" w:eastAsia="仿宋_GB2312" w:cs="仿宋_GB2312"/>
                <w:snapToGrid/>
                <w:sz w:val="28"/>
                <w:szCs w:val="28"/>
                <w:lang w:eastAsia="zh-CN"/>
              </w:rPr>
              <w:t>类别</w:t>
            </w:r>
          </w:p>
        </w:tc>
        <w:tc>
          <w:tcPr>
            <w:tcW w:w="3412" w:type="dxa"/>
            <w:vAlign w:val="center"/>
          </w:tcPr>
          <w:p w14:paraId="0E8FBA6D">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评分标准</w:t>
            </w:r>
          </w:p>
        </w:tc>
        <w:tc>
          <w:tcPr>
            <w:tcW w:w="838" w:type="dxa"/>
            <w:noWrap/>
            <w:vAlign w:val="center"/>
          </w:tcPr>
          <w:p w14:paraId="3AEF9EE5">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配分</w:t>
            </w:r>
          </w:p>
        </w:tc>
        <w:tc>
          <w:tcPr>
            <w:tcW w:w="3829" w:type="dxa"/>
            <w:noWrap/>
            <w:vAlign w:val="center"/>
          </w:tcPr>
          <w:p w14:paraId="15AF92FB">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备注说明</w:t>
            </w:r>
          </w:p>
        </w:tc>
      </w:tr>
      <w:tr w14:paraId="2912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345" w:type="dxa"/>
            <w:noWrap/>
            <w:vAlign w:val="center"/>
          </w:tcPr>
          <w:p w14:paraId="0ADF1551">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w:t>
            </w:r>
          </w:p>
        </w:tc>
        <w:tc>
          <w:tcPr>
            <w:tcW w:w="3412" w:type="dxa"/>
            <w:vAlign w:val="center"/>
          </w:tcPr>
          <w:p w14:paraId="2B417608">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个人劳保用品及周围环境安全判断(安全帽,劳保鞋,反光工衣)</w:t>
            </w:r>
          </w:p>
        </w:tc>
        <w:tc>
          <w:tcPr>
            <w:tcW w:w="838" w:type="dxa"/>
            <w:noWrap/>
            <w:vAlign w:val="center"/>
          </w:tcPr>
          <w:p w14:paraId="0959CDD4">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29" w:type="dxa"/>
            <w:vAlign w:val="center"/>
          </w:tcPr>
          <w:p w14:paraId="5539E4FA">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安全帽,劳保鞋,反光工衣缺失一项扣除2分，没有正确佩戴扣除1分,累加</w:t>
            </w:r>
          </w:p>
        </w:tc>
      </w:tr>
      <w:tr w14:paraId="269EA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noWrap/>
            <w:vAlign w:val="center"/>
          </w:tcPr>
          <w:p w14:paraId="3AB01B10">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沟通</w:t>
            </w:r>
          </w:p>
        </w:tc>
        <w:tc>
          <w:tcPr>
            <w:tcW w:w="3412" w:type="dxa"/>
            <w:vAlign w:val="center"/>
          </w:tcPr>
          <w:p w14:paraId="110B1134">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开工前后与司机沟通</w:t>
            </w:r>
          </w:p>
        </w:tc>
        <w:tc>
          <w:tcPr>
            <w:tcW w:w="838" w:type="dxa"/>
            <w:noWrap/>
            <w:vAlign w:val="center"/>
          </w:tcPr>
          <w:p w14:paraId="709FA9F1">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noWrap/>
            <w:vAlign w:val="center"/>
          </w:tcPr>
          <w:p w14:paraId="38476947">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没有飞电等直接沟通，扣除5分</w:t>
            </w:r>
          </w:p>
        </w:tc>
      </w:tr>
      <w:tr w14:paraId="5027A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45" w:type="dxa"/>
            <w:vMerge w:val="restart"/>
            <w:noWrap/>
            <w:vAlign w:val="center"/>
          </w:tcPr>
          <w:p w14:paraId="2EFFF075">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过程</w:t>
            </w:r>
          </w:p>
        </w:tc>
        <w:tc>
          <w:tcPr>
            <w:tcW w:w="3412" w:type="dxa"/>
            <w:vAlign w:val="center"/>
          </w:tcPr>
          <w:p w14:paraId="2BB87652">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开工前安全措施到位</w:t>
            </w:r>
          </w:p>
        </w:tc>
        <w:tc>
          <w:tcPr>
            <w:tcW w:w="838" w:type="dxa"/>
            <w:shd w:val="clear" w:color="auto" w:fill="auto"/>
            <w:vAlign w:val="center"/>
          </w:tcPr>
          <w:p w14:paraId="5E9FFC02">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29" w:type="dxa"/>
            <w:vAlign w:val="center"/>
          </w:tcPr>
          <w:p w14:paraId="3A93B8DC">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上设备没翻维修牌，扣除5分,安全防范措施,没拍紧停扣除5分</w:t>
            </w:r>
          </w:p>
        </w:tc>
      </w:tr>
      <w:tr w14:paraId="197C3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1CEA8C8A">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6D1E517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正确使用工具</w:t>
            </w:r>
          </w:p>
        </w:tc>
        <w:tc>
          <w:tcPr>
            <w:tcW w:w="838" w:type="dxa"/>
            <w:vAlign w:val="center"/>
          </w:tcPr>
          <w:p w14:paraId="3F281913">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vAlign w:val="center"/>
          </w:tcPr>
          <w:p w14:paraId="0056B577">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08807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4D13B9BC">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08C92F35">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正确设置标准及掌握程度</w:t>
            </w:r>
          </w:p>
        </w:tc>
        <w:tc>
          <w:tcPr>
            <w:tcW w:w="838" w:type="dxa"/>
            <w:shd w:val="clear" w:color="auto" w:fill="auto"/>
            <w:vAlign w:val="center"/>
          </w:tcPr>
          <w:p w14:paraId="2924BC01">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29" w:type="dxa"/>
            <w:vAlign w:val="center"/>
          </w:tcPr>
          <w:p w14:paraId="014D2B3D">
            <w:pPr>
              <w:pStyle w:val="2"/>
              <w:widowControl w:val="0"/>
              <w:spacing w:line="400" w:lineRule="exact"/>
              <w:jc w:val="left"/>
              <w:rPr>
                <w:rFonts w:hint="eastAsia" w:ascii="仿宋_GB2312" w:hAnsi="仿宋_GB2312" w:eastAsia="仿宋_GB2312" w:cs="仿宋_GB2312"/>
                <w:snapToGrid/>
                <w:sz w:val="28"/>
                <w:szCs w:val="28"/>
                <w:lang w:eastAsia="zh-CN"/>
              </w:rPr>
            </w:pPr>
          </w:p>
        </w:tc>
      </w:tr>
      <w:tr w14:paraId="18C2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45" w:type="dxa"/>
            <w:vMerge w:val="continue"/>
            <w:vAlign w:val="center"/>
          </w:tcPr>
          <w:p w14:paraId="428DC5D0">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53EA8AE6">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正确设置顺序</w:t>
            </w:r>
          </w:p>
        </w:tc>
        <w:tc>
          <w:tcPr>
            <w:tcW w:w="838" w:type="dxa"/>
            <w:shd w:val="clear" w:color="auto" w:fill="auto"/>
            <w:vAlign w:val="center"/>
          </w:tcPr>
          <w:p w14:paraId="67DF82E7">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29" w:type="dxa"/>
            <w:vAlign w:val="center"/>
          </w:tcPr>
          <w:p w14:paraId="04ADC099">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每调错一次在本题的总成绩中扣5分，累计调错三次，终止本题的后续考核</w:t>
            </w:r>
          </w:p>
        </w:tc>
      </w:tr>
      <w:tr w14:paraId="419A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45" w:type="dxa"/>
            <w:vMerge w:val="continue"/>
            <w:vAlign w:val="center"/>
          </w:tcPr>
          <w:p w14:paraId="72A53E8B">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485D4C89">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某部件设置后试机</w:t>
            </w:r>
          </w:p>
        </w:tc>
        <w:tc>
          <w:tcPr>
            <w:tcW w:w="838" w:type="dxa"/>
            <w:vAlign w:val="center"/>
          </w:tcPr>
          <w:p w14:paraId="3E4E0F4B">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noWrap/>
            <w:vAlign w:val="center"/>
          </w:tcPr>
          <w:p w14:paraId="53AD7CD2">
            <w:pPr>
              <w:pStyle w:val="2"/>
              <w:widowControl w:val="0"/>
              <w:spacing w:line="400" w:lineRule="exact"/>
              <w:jc w:val="both"/>
              <w:rPr>
                <w:rFonts w:hint="eastAsia" w:ascii="仿宋_GB2312" w:hAnsi="仿宋_GB2312" w:eastAsia="仿宋_GB2312" w:cs="仿宋_GB2312"/>
                <w:snapToGrid/>
                <w:sz w:val="28"/>
                <w:szCs w:val="28"/>
                <w:lang w:eastAsia="zh-CN"/>
              </w:rPr>
            </w:pPr>
          </w:p>
        </w:tc>
      </w:tr>
      <w:tr w14:paraId="040C8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5DC2FF80">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1CD0AA25">
            <w:pPr>
              <w:pStyle w:val="2"/>
              <w:widowControl w:val="0"/>
              <w:spacing w:line="400" w:lineRule="exact"/>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联系司机试机，确认工作完成</w:t>
            </w:r>
          </w:p>
        </w:tc>
        <w:tc>
          <w:tcPr>
            <w:tcW w:w="838" w:type="dxa"/>
            <w:vAlign w:val="center"/>
          </w:tcPr>
          <w:p w14:paraId="0C1BFC5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noWrap/>
            <w:vAlign w:val="center"/>
          </w:tcPr>
          <w:p w14:paraId="28ACB0EF">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没沟通司机交机，扣除2分</w:t>
            </w:r>
          </w:p>
        </w:tc>
      </w:tr>
      <w:tr w14:paraId="0ED56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restart"/>
            <w:noWrap/>
            <w:vAlign w:val="center"/>
          </w:tcPr>
          <w:p w14:paraId="6FF2BBD2">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收尾工作</w:t>
            </w:r>
          </w:p>
        </w:tc>
        <w:tc>
          <w:tcPr>
            <w:tcW w:w="3412" w:type="dxa"/>
            <w:vAlign w:val="center"/>
          </w:tcPr>
          <w:p w14:paraId="4E1C4A0B">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工具是否收拾齐全</w:t>
            </w:r>
          </w:p>
        </w:tc>
        <w:tc>
          <w:tcPr>
            <w:tcW w:w="838" w:type="dxa"/>
            <w:noWrap/>
            <w:vAlign w:val="center"/>
          </w:tcPr>
          <w:p w14:paraId="2E51716C">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noWrap/>
            <w:vAlign w:val="center"/>
          </w:tcPr>
          <w:p w14:paraId="05790585">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遗留工具，扣除5分</w:t>
            </w:r>
          </w:p>
        </w:tc>
      </w:tr>
      <w:tr w14:paraId="718AB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2B967EF5">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Align w:val="center"/>
          </w:tcPr>
          <w:p w14:paraId="47914529">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现场整理清洁</w:t>
            </w:r>
          </w:p>
        </w:tc>
        <w:tc>
          <w:tcPr>
            <w:tcW w:w="838" w:type="dxa"/>
            <w:noWrap/>
            <w:vAlign w:val="center"/>
          </w:tcPr>
          <w:p w14:paraId="2B170CAA">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29" w:type="dxa"/>
            <w:noWrap/>
            <w:vAlign w:val="center"/>
          </w:tcPr>
          <w:p w14:paraId="2E4D9646">
            <w:pPr>
              <w:pStyle w:val="2"/>
              <w:widowControl w:val="0"/>
              <w:spacing w:line="400" w:lineRule="exact"/>
              <w:jc w:val="both"/>
              <w:rPr>
                <w:rFonts w:hint="eastAsia" w:ascii="仿宋_GB2312" w:hAnsi="仿宋_GB2312" w:eastAsia="仿宋_GB2312" w:cs="仿宋_GB2312"/>
                <w:snapToGrid/>
                <w:sz w:val="28"/>
                <w:szCs w:val="28"/>
                <w:lang w:eastAsia="zh-CN"/>
              </w:rPr>
            </w:pPr>
          </w:p>
        </w:tc>
      </w:tr>
      <w:tr w14:paraId="66C26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restart"/>
            <w:noWrap/>
            <w:vAlign w:val="center"/>
          </w:tcPr>
          <w:p w14:paraId="72A691F5">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时间</w:t>
            </w:r>
          </w:p>
        </w:tc>
        <w:tc>
          <w:tcPr>
            <w:tcW w:w="3412" w:type="dxa"/>
            <w:vMerge w:val="restart"/>
            <w:vAlign w:val="center"/>
          </w:tcPr>
          <w:p w14:paraId="7B3A4D20">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工作速度及效率</w:t>
            </w:r>
          </w:p>
        </w:tc>
        <w:tc>
          <w:tcPr>
            <w:tcW w:w="838" w:type="dxa"/>
            <w:vMerge w:val="restart"/>
            <w:shd w:val="clear" w:color="auto" w:fill="auto"/>
            <w:noWrap/>
            <w:vAlign w:val="center"/>
          </w:tcPr>
          <w:p w14:paraId="06ADBED6">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29" w:type="dxa"/>
            <w:vAlign w:val="center"/>
          </w:tcPr>
          <w:p w14:paraId="527ED51C">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以25分钟完成为基准0分</w:t>
            </w:r>
          </w:p>
        </w:tc>
      </w:tr>
      <w:tr w14:paraId="6A1D7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4A810D69">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Merge w:val="continue"/>
            <w:vAlign w:val="center"/>
          </w:tcPr>
          <w:p w14:paraId="53EC4E75">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838" w:type="dxa"/>
            <w:vMerge w:val="continue"/>
            <w:vAlign w:val="center"/>
          </w:tcPr>
          <w:p w14:paraId="2B8ACC20">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829" w:type="dxa"/>
            <w:vAlign w:val="center"/>
          </w:tcPr>
          <w:p w14:paraId="06C5B781">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用时超过25分钟，本项不得分</w:t>
            </w:r>
          </w:p>
        </w:tc>
      </w:tr>
      <w:tr w14:paraId="675E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45" w:type="dxa"/>
            <w:vMerge w:val="continue"/>
            <w:vAlign w:val="center"/>
          </w:tcPr>
          <w:p w14:paraId="07224ADA">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412" w:type="dxa"/>
            <w:vMerge w:val="continue"/>
            <w:vAlign w:val="center"/>
          </w:tcPr>
          <w:p w14:paraId="499E4FF5">
            <w:pPr>
              <w:pStyle w:val="2"/>
              <w:widowControl w:val="0"/>
              <w:spacing w:line="400" w:lineRule="exact"/>
              <w:jc w:val="both"/>
              <w:rPr>
                <w:rFonts w:hint="eastAsia" w:ascii="仿宋_GB2312" w:hAnsi="仿宋_GB2312" w:eastAsia="仿宋_GB2312" w:cs="仿宋_GB2312"/>
                <w:snapToGrid/>
                <w:sz w:val="28"/>
                <w:szCs w:val="28"/>
                <w:lang w:eastAsia="zh-CN"/>
              </w:rPr>
            </w:pPr>
          </w:p>
        </w:tc>
        <w:tc>
          <w:tcPr>
            <w:tcW w:w="838" w:type="dxa"/>
            <w:vMerge w:val="continue"/>
            <w:vAlign w:val="center"/>
          </w:tcPr>
          <w:p w14:paraId="596E3DC6">
            <w:pPr>
              <w:pStyle w:val="2"/>
              <w:widowControl w:val="0"/>
              <w:spacing w:line="400" w:lineRule="exact"/>
              <w:jc w:val="center"/>
              <w:rPr>
                <w:rFonts w:hint="eastAsia" w:ascii="仿宋_GB2312" w:hAnsi="仿宋_GB2312" w:eastAsia="仿宋_GB2312" w:cs="仿宋_GB2312"/>
                <w:snapToGrid/>
                <w:sz w:val="28"/>
                <w:szCs w:val="28"/>
                <w:lang w:eastAsia="zh-CN"/>
              </w:rPr>
            </w:pPr>
          </w:p>
        </w:tc>
        <w:tc>
          <w:tcPr>
            <w:tcW w:w="3829" w:type="dxa"/>
            <w:vAlign w:val="center"/>
          </w:tcPr>
          <w:p w14:paraId="7544B19D">
            <w:pPr>
              <w:pStyle w:val="2"/>
              <w:widowControl w:val="0"/>
              <w:spacing w:line="400" w:lineRule="exact"/>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每提前1分钟得2分,满分20分</w:t>
            </w:r>
          </w:p>
        </w:tc>
      </w:tr>
      <w:tr w14:paraId="2EB8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345" w:type="dxa"/>
            <w:noWrap/>
            <w:vAlign w:val="center"/>
          </w:tcPr>
          <w:p w14:paraId="3A37EE65">
            <w:pPr>
              <w:pStyle w:val="2"/>
              <w:widowControl w:val="0"/>
              <w:spacing w:line="400" w:lineRule="exact"/>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总评</w:t>
            </w:r>
          </w:p>
        </w:tc>
        <w:tc>
          <w:tcPr>
            <w:tcW w:w="8079" w:type="dxa"/>
            <w:gridSpan w:val="3"/>
            <w:noWrap/>
            <w:vAlign w:val="center"/>
          </w:tcPr>
          <w:p w14:paraId="0EC17528">
            <w:pPr>
              <w:pStyle w:val="2"/>
              <w:widowControl w:val="0"/>
              <w:spacing w:line="400" w:lineRule="exact"/>
              <w:jc w:val="center"/>
              <w:rPr>
                <w:rFonts w:hint="eastAsia" w:ascii="仿宋_GB2312" w:hAnsi="仿宋_GB2312" w:eastAsia="仿宋_GB2312" w:cs="仿宋_GB2312"/>
                <w:snapToGrid/>
                <w:sz w:val="28"/>
                <w:szCs w:val="28"/>
                <w:lang w:eastAsia="zh-CN"/>
              </w:rPr>
            </w:pPr>
          </w:p>
        </w:tc>
      </w:tr>
      <w:bookmarkEnd w:id="6"/>
    </w:tbl>
    <w:p w14:paraId="6C5E5BD3">
      <w:pPr>
        <w:pStyle w:val="2"/>
        <w:spacing w:line="560" w:lineRule="exact"/>
        <w:jc w:val="center"/>
        <w:rPr>
          <w:rFonts w:hint="eastAsia" w:ascii="仿宋_GB2312" w:hAnsi="仿宋_GB2312" w:eastAsia="仿宋_GB2312" w:cs="仿宋_GB2312"/>
          <w:snapToGrid/>
          <w:sz w:val="32"/>
          <w:szCs w:val="32"/>
          <w:lang w:eastAsia="zh-CN"/>
        </w:rPr>
      </w:pPr>
      <w:r>
        <w:rPr>
          <w:rFonts w:hint="eastAsia" w:ascii="仿宋_GB2312" w:hAnsi="仿宋_GB2312" w:eastAsia="仿宋_GB2312" w:cs="仿宋_GB2312"/>
          <w:snapToGrid/>
          <w:sz w:val="32"/>
          <w:szCs w:val="32"/>
          <w:lang w:eastAsia="zh-CN"/>
        </w:rPr>
        <w:t>龙门吊故障处理评分标准</w:t>
      </w:r>
    </w:p>
    <w:tbl>
      <w:tblPr>
        <w:tblStyle w:val="11"/>
        <w:tblW w:w="9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3311"/>
        <w:gridCol w:w="864"/>
        <w:gridCol w:w="3811"/>
      </w:tblGrid>
      <w:tr w14:paraId="02DDE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427" w:type="dxa"/>
            <w:noWrap/>
            <w:vAlign w:val="center"/>
          </w:tcPr>
          <w:p w14:paraId="7AF5AF5A">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类别</w:t>
            </w:r>
          </w:p>
        </w:tc>
        <w:tc>
          <w:tcPr>
            <w:tcW w:w="3311" w:type="dxa"/>
            <w:vAlign w:val="center"/>
          </w:tcPr>
          <w:p w14:paraId="3E54F9B8">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评分标准</w:t>
            </w:r>
          </w:p>
        </w:tc>
        <w:tc>
          <w:tcPr>
            <w:tcW w:w="864" w:type="dxa"/>
            <w:noWrap/>
            <w:vAlign w:val="center"/>
          </w:tcPr>
          <w:p w14:paraId="5CFCE295">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得分</w:t>
            </w:r>
          </w:p>
        </w:tc>
        <w:tc>
          <w:tcPr>
            <w:tcW w:w="3811" w:type="dxa"/>
            <w:noWrap/>
            <w:vAlign w:val="center"/>
          </w:tcPr>
          <w:p w14:paraId="6C8D46B1">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备注说明</w:t>
            </w:r>
          </w:p>
        </w:tc>
      </w:tr>
      <w:tr w14:paraId="2CA1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427" w:type="dxa"/>
            <w:noWrap/>
            <w:vAlign w:val="center"/>
          </w:tcPr>
          <w:p w14:paraId="163F1E87">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w:t>
            </w:r>
          </w:p>
        </w:tc>
        <w:tc>
          <w:tcPr>
            <w:tcW w:w="3311" w:type="dxa"/>
            <w:vAlign w:val="center"/>
          </w:tcPr>
          <w:p w14:paraId="0E82EFE0">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个人劳保用品及周围环境安全判断(安全帽,劳保鞋,反光工衣)</w:t>
            </w:r>
          </w:p>
        </w:tc>
        <w:tc>
          <w:tcPr>
            <w:tcW w:w="864" w:type="dxa"/>
            <w:noWrap/>
            <w:vAlign w:val="center"/>
          </w:tcPr>
          <w:p w14:paraId="50390BC9">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11" w:type="dxa"/>
            <w:vAlign w:val="center"/>
          </w:tcPr>
          <w:p w14:paraId="37860CB1">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安全帽,劳保鞋,反光工衣缺失一项扣除2分，没有正确佩戴扣除1分，累加</w:t>
            </w:r>
          </w:p>
        </w:tc>
      </w:tr>
      <w:tr w14:paraId="2F1FA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noWrap/>
            <w:vAlign w:val="center"/>
          </w:tcPr>
          <w:p w14:paraId="4F9C9236">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沟通</w:t>
            </w:r>
          </w:p>
        </w:tc>
        <w:tc>
          <w:tcPr>
            <w:tcW w:w="3311" w:type="dxa"/>
            <w:vAlign w:val="center"/>
          </w:tcPr>
          <w:p w14:paraId="44A20B44">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开工前后与司机沟通</w:t>
            </w:r>
          </w:p>
        </w:tc>
        <w:tc>
          <w:tcPr>
            <w:tcW w:w="864" w:type="dxa"/>
            <w:noWrap/>
            <w:vAlign w:val="center"/>
          </w:tcPr>
          <w:p w14:paraId="17970DE4">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noWrap/>
            <w:vAlign w:val="center"/>
          </w:tcPr>
          <w:p w14:paraId="18FCA3AB">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没有飞电等直接沟通，扣除5分</w:t>
            </w:r>
          </w:p>
        </w:tc>
      </w:tr>
      <w:tr w14:paraId="5D997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vMerge w:val="restart"/>
            <w:noWrap/>
            <w:vAlign w:val="center"/>
          </w:tcPr>
          <w:p w14:paraId="6C702F13">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过程</w:t>
            </w:r>
          </w:p>
        </w:tc>
        <w:tc>
          <w:tcPr>
            <w:tcW w:w="3311" w:type="dxa"/>
            <w:vAlign w:val="center"/>
          </w:tcPr>
          <w:p w14:paraId="26CAD195">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开工前安全措施到位</w:t>
            </w:r>
          </w:p>
        </w:tc>
        <w:tc>
          <w:tcPr>
            <w:tcW w:w="864" w:type="dxa"/>
            <w:vAlign w:val="center"/>
          </w:tcPr>
          <w:p w14:paraId="4DD70756">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vAlign w:val="center"/>
          </w:tcPr>
          <w:p w14:paraId="4D414FA6">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上设备没翻维修牌，扣除5分</w:t>
            </w:r>
          </w:p>
        </w:tc>
      </w:tr>
      <w:tr w14:paraId="7FDCF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27" w:type="dxa"/>
            <w:vMerge w:val="continue"/>
            <w:vAlign w:val="center"/>
          </w:tcPr>
          <w:p w14:paraId="62C06D51">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0B2EB07E">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确定为故障机构范围，打开电脑PLC程序,重新核对</w:t>
            </w:r>
          </w:p>
        </w:tc>
        <w:tc>
          <w:tcPr>
            <w:tcW w:w="864" w:type="dxa"/>
            <w:vAlign w:val="center"/>
          </w:tcPr>
          <w:p w14:paraId="1935931D">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11" w:type="dxa"/>
            <w:vAlign w:val="center"/>
          </w:tcPr>
          <w:p w14:paraId="375981FF">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（通过电脑PLC查故障或I/O模块输入点变化）</w:t>
            </w:r>
          </w:p>
        </w:tc>
      </w:tr>
      <w:tr w14:paraId="1113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27" w:type="dxa"/>
            <w:vMerge w:val="continue"/>
            <w:vAlign w:val="center"/>
          </w:tcPr>
          <w:p w14:paraId="5A38CB5C">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4FDE7B49">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程序中确认故障,电气线路图检查回路</w:t>
            </w:r>
          </w:p>
        </w:tc>
        <w:tc>
          <w:tcPr>
            <w:tcW w:w="864" w:type="dxa"/>
            <w:vAlign w:val="center"/>
          </w:tcPr>
          <w:p w14:paraId="252C8AD2">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10分</w:t>
            </w:r>
          </w:p>
        </w:tc>
        <w:tc>
          <w:tcPr>
            <w:tcW w:w="3811" w:type="dxa"/>
            <w:vAlign w:val="center"/>
          </w:tcPr>
          <w:p w14:paraId="38D651F6">
            <w:pPr>
              <w:pStyle w:val="2"/>
              <w:widowControl w:val="0"/>
              <w:jc w:val="left"/>
              <w:rPr>
                <w:rFonts w:hint="eastAsia" w:ascii="仿宋_GB2312" w:hAnsi="仿宋_GB2312" w:eastAsia="仿宋_GB2312" w:cs="仿宋_GB2312"/>
                <w:snapToGrid/>
                <w:sz w:val="28"/>
                <w:szCs w:val="28"/>
                <w:lang w:eastAsia="zh-CN"/>
              </w:rPr>
            </w:pPr>
          </w:p>
        </w:tc>
      </w:tr>
      <w:tr w14:paraId="5B4D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27" w:type="dxa"/>
            <w:vMerge w:val="continue"/>
            <w:vAlign w:val="center"/>
          </w:tcPr>
          <w:p w14:paraId="262479A5">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605B6BC8">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实际线路排查，找到故障点</w:t>
            </w:r>
          </w:p>
        </w:tc>
        <w:tc>
          <w:tcPr>
            <w:tcW w:w="864" w:type="dxa"/>
            <w:vAlign w:val="center"/>
          </w:tcPr>
          <w:p w14:paraId="2E42C461">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11" w:type="dxa"/>
            <w:vAlign w:val="center"/>
          </w:tcPr>
          <w:p w14:paraId="52748638">
            <w:pPr>
              <w:pStyle w:val="2"/>
              <w:widowControl w:val="0"/>
              <w:jc w:val="left"/>
              <w:rPr>
                <w:rFonts w:hint="eastAsia" w:ascii="仿宋_GB2312" w:hAnsi="仿宋_GB2312" w:eastAsia="仿宋_GB2312" w:cs="仿宋_GB2312"/>
                <w:snapToGrid/>
                <w:sz w:val="28"/>
                <w:szCs w:val="28"/>
                <w:lang w:eastAsia="zh-CN"/>
              </w:rPr>
            </w:pPr>
          </w:p>
        </w:tc>
      </w:tr>
      <w:tr w14:paraId="341D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427" w:type="dxa"/>
            <w:vMerge w:val="continue"/>
            <w:vAlign w:val="center"/>
          </w:tcPr>
          <w:p w14:paraId="56F1DE2D">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17E5515F">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安全措施(先验电)，后接入线措施</w:t>
            </w:r>
          </w:p>
        </w:tc>
        <w:tc>
          <w:tcPr>
            <w:tcW w:w="864" w:type="dxa"/>
            <w:vAlign w:val="center"/>
          </w:tcPr>
          <w:p w14:paraId="536F6800">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noWrap/>
            <w:vAlign w:val="center"/>
          </w:tcPr>
          <w:p w14:paraId="73F5B491">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没有验电，扣除5分</w:t>
            </w:r>
          </w:p>
        </w:tc>
      </w:tr>
      <w:tr w14:paraId="2D452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vMerge w:val="continue"/>
            <w:vAlign w:val="center"/>
          </w:tcPr>
          <w:p w14:paraId="5D58C259">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3124AF7E">
            <w:pPr>
              <w:pStyle w:val="2"/>
              <w:widowControl w:val="0"/>
              <w:jc w:val="left"/>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联系司机试机，确认工作完成</w:t>
            </w:r>
          </w:p>
        </w:tc>
        <w:tc>
          <w:tcPr>
            <w:tcW w:w="864" w:type="dxa"/>
            <w:vAlign w:val="center"/>
          </w:tcPr>
          <w:p w14:paraId="676D4279">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noWrap/>
            <w:vAlign w:val="center"/>
          </w:tcPr>
          <w:p w14:paraId="659C03A8">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没沟通司机交机，扣除2分</w:t>
            </w:r>
          </w:p>
        </w:tc>
      </w:tr>
      <w:tr w14:paraId="04BEA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vMerge w:val="restart"/>
            <w:noWrap/>
            <w:vAlign w:val="center"/>
          </w:tcPr>
          <w:p w14:paraId="51D6ABD1">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收尾工作</w:t>
            </w:r>
          </w:p>
        </w:tc>
        <w:tc>
          <w:tcPr>
            <w:tcW w:w="3311" w:type="dxa"/>
            <w:vAlign w:val="center"/>
          </w:tcPr>
          <w:p w14:paraId="338A5E19">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工具是否收拾齐全</w:t>
            </w:r>
          </w:p>
        </w:tc>
        <w:tc>
          <w:tcPr>
            <w:tcW w:w="864" w:type="dxa"/>
            <w:noWrap/>
            <w:vAlign w:val="center"/>
          </w:tcPr>
          <w:p w14:paraId="5E48B182">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noWrap/>
            <w:vAlign w:val="center"/>
          </w:tcPr>
          <w:p w14:paraId="25CEAC8F">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遗留工具，扣除5分</w:t>
            </w:r>
          </w:p>
        </w:tc>
      </w:tr>
      <w:tr w14:paraId="4EDCC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vMerge w:val="continue"/>
            <w:vAlign w:val="center"/>
          </w:tcPr>
          <w:p w14:paraId="20E941EB">
            <w:pPr>
              <w:pStyle w:val="2"/>
              <w:widowControl w:val="0"/>
              <w:jc w:val="center"/>
              <w:rPr>
                <w:rFonts w:hint="eastAsia" w:ascii="仿宋_GB2312" w:hAnsi="仿宋_GB2312" w:eastAsia="仿宋_GB2312" w:cs="仿宋_GB2312"/>
                <w:snapToGrid/>
                <w:sz w:val="28"/>
                <w:szCs w:val="28"/>
                <w:lang w:eastAsia="zh-CN"/>
              </w:rPr>
            </w:pPr>
          </w:p>
        </w:tc>
        <w:tc>
          <w:tcPr>
            <w:tcW w:w="3311" w:type="dxa"/>
            <w:vAlign w:val="center"/>
          </w:tcPr>
          <w:p w14:paraId="2F928A52">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现场整理清洁</w:t>
            </w:r>
          </w:p>
        </w:tc>
        <w:tc>
          <w:tcPr>
            <w:tcW w:w="864" w:type="dxa"/>
            <w:noWrap/>
            <w:vAlign w:val="center"/>
          </w:tcPr>
          <w:p w14:paraId="23D13D3D">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5分</w:t>
            </w:r>
          </w:p>
        </w:tc>
        <w:tc>
          <w:tcPr>
            <w:tcW w:w="3811" w:type="dxa"/>
            <w:noWrap/>
            <w:vAlign w:val="center"/>
          </w:tcPr>
          <w:p w14:paraId="2D2711A5">
            <w:pPr>
              <w:pStyle w:val="2"/>
              <w:widowControl w:val="0"/>
              <w:jc w:val="both"/>
              <w:rPr>
                <w:rFonts w:hint="eastAsia" w:ascii="仿宋_GB2312" w:hAnsi="仿宋_GB2312" w:eastAsia="仿宋_GB2312" w:cs="仿宋_GB2312"/>
                <w:snapToGrid/>
                <w:sz w:val="28"/>
                <w:szCs w:val="28"/>
                <w:lang w:eastAsia="zh-CN"/>
              </w:rPr>
            </w:pPr>
          </w:p>
        </w:tc>
      </w:tr>
      <w:tr w14:paraId="213BE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27" w:type="dxa"/>
            <w:vMerge w:val="restart"/>
            <w:noWrap/>
            <w:vAlign w:val="center"/>
          </w:tcPr>
          <w:p w14:paraId="05F9490A">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时间</w:t>
            </w:r>
          </w:p>
        </w:tc>
        <w:tc>
          <w:tcPr>
            <w:tcW w:w="3311" w:type="dxa"/>
            <w:vMerge w:val="restart"/>
            <w:vAlign w:val="center"/>
          </w:tcPr>
          <w:p w14:paraId="4773B4D0">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工作速度及效率</w:t>
            </w:r>
          </w:p>
        </w:tc>
        <w:tc>
          <w:tcPr>
            <w:tcW w:w="864" w:type="dxa"/>
            <w:vMerge w:val="restart"/>
            <w:noWrap/>
            <w:vAlign w:val="center"/>
          </w:tcPr>
          <w:p w14:paraId="3CEC6189">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20分</w:t>
            </w:r>
          </w:p>
        </w:tc>
        <w:tc>
          <w:tcPr>
            <w:tcW w:w="3811" w:type="dxa"/>
            <w:vAlign w:val="center"/>
          </w:tcPr>
          <w:p w14:paraId="536693AB">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以25分钟完成为基准0分</w:t>
            </w:r>
          </w:p>
        </w:tc>
      </w:tr>
      <w:tr w14:paraId="36EDA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27" w:type="dxa"/>
            <w:vMerge w:val="continue"/>
            <w:vAlign w:val="center"/>
          </w:tcPr>
          <w:p w14:paraId="12BBDD53">
            <w:pPr>
              <w:pStyle w:val="2"/>
              <w:widowControl w:val="0"/>
              <w:jc w:val="center"/>
              <w:rPr>
                <w:rFonts w:hint="eastAsia" w:ascii="仿宋_GB2312" w:hAnsi="仿宋_GB2312" w:eastAsia="仿宋_GB2312" w:cs="仿宋_GB2312"/>
                <w:snapToGrid/>
                <w:sz w:val="28"/>
                <w:szCs w:val="28"/>
                <w:lang w:eastAsia="zh-CN"/>
              </w:rPr>
            </w:pPr>
          </w:p>
        </w:tc>
        <w:tc>
          <w:tcPr>
            <w:tcW w:w="3311" w:type="dxa"/>
            <w:vMerge w:val="continue"/>
            <w:vAlign w:val="center"/>
          </w:tcPr>
          <w:p w14:paraId="4C26770B">
            <w:pPr>
              <w:pStyle w:val="2"/>
              <w:widowControl w:val="0"/>
              <w:jc w:val="both"/>
              <w:rPr>
                <w:rFonts w:hint="eastAsia" w:ascii="仿宋_GB2312" w:hAnsi="仿宋_GB2312" w:eastAsia="仿宋_GB2312" w:cs="仿宋_GB2312"/>
                <w:snapToGrid/>
                <w:sz w:val="28"/>
                <w:szCs w:val="28"/>
                <w:lang w:eastAsia="zh-CN"/>
              </w:rPr>
            </w:pPr>
          </w:p>
        </w:tc>
        <w:tc>
          <w:tcPr>
            <w:tcW w:w="864" w:type="dxa"/>
            <w:vMerge w:val="continue"/>
            <w:vAlign w:val="center"/>
          </w:tcPr>
          <w:p w14:paraId="7AB1BC2E">
            <w:pPr>
              <w:pStyle w:val="2"/>
              <w:widowControl w:val="0"/>
              <w:jc w:val="center"/>
              <w:rPr>
                <w:rFonts w:hint="eastAsia" w:ascii="仿宋_GB2312" w:hAnsi="仿宋_GB2312" w:eastAsia="仿宋_GB2312" w:cs="仿宋_GB2312"/>
                <w:snapToGrid/>
                <w:sz w:val="28"/>
                <w:szCs w:val="28"/>
                <w:lang w:eastAsia="zh-CN"/>
              </w:rPr>
            </w:pPr>
          </w:p>
        </w:tc>
        <w:tc>
          <w:tcPr>
            <w:tcW w:w="3811" w:type="dxa"/>
            <w:vAlign w:val="center"/>
          </w:tcPr>
          <w:p w14:paraId="0F8D3317">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用时超过25分钟，本项不得分</w:t>
            </w:r>
          </w:p>
        </w:tc>
      </w:tr>
      <w:tr w14:paraId="3B46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27" w:type="dxa"/>
            <w:vMerge w:val="continue"/>
            <w:vAlign w:val="center"/>
          </w:tcPr>
          <w:p w14:paraId="575CB56E">
            <w:pPr>
              <w:pStyle w:val="2"/>
              <w:widowControl w:val="0"/>
              <w:jc w:val="center"/>
              <w:rPr>
                <w:rFonts w:hint="eastAsia" w:ascii="仿宋_GB2312" w:hAnsi="仿宋_GB2312" w:eastAsia="仿宋_GB2312" w:cs="仿宋_GB2312"/>
                <w:snapToGrid/>
                <w:sz w:val="28"/>
                <w:szCs w:val="28"/>
                <w:lang w:eastAsia="zh-CN"/>
              </w:rPr>
            </w:pPr>
          </w:p>
        </w:tc>
        <w:tc>
          <w:tcPr>
            <w:tcW w:w="3311" w:type="dxa"/>
            <w:vMerge w:val="continue"/>
            <w:vAlign w:val="center"/>
          </w:tcPr>
          <w:p w14:paraId="1AA9160E">
            <w:pPr>
              <w:pStyle w:val="2"/>
              <w:widowControl w:val="0"/>
              <w:jc w:val="both"/>
              <w:rPr>
                <w:rFonts w:hint="eastAsia" w:ascii="仿宋_GB2312" w:hAnsi="仿宋_GB2312" w:eastAsia="仿宋_GB2312" w:cs="仿宋_GB2312"/>
                <w:snapToGrid/>
                <w:sz w:val="28"/>
                <w:szCs w:val="28"/>
                <w:lang w:eastAsia="zh-CN"/>
              </w:rPr>
            </w:pPr>
          </w:p>
        </w:tc>
        <w:tc>
          <w:tcPr>
            <w:tcW w:w="864" w:type="dxa"/>
            <w:vMerge w:val="continue"/>
            <w:vAlign w:val="center"/>
          </w:tcPr>
          <w:p w14:paraId="63BFC970">
            <w:pPr>
              <w:pStyle w:val="2"/>
              <w:widowControl w:val="0"/>
              <w:jc w:val="center"/>
              <w:rPr>
                <w:rFonts w:hint="eastAsia" w:ascii="仿宋_GB2312" w:hAnsi="仿宋_GB2312" w:eastAsia="仿宋_GB2312" w:cs="仿宋_GB2312"/>
                <w:snapToGrid/>
                <w:sz w:val="28"/>
                <w:szCs w:val="28"/>
                <w:lang w:eastAsia="zh-CN"/>
              </w:rPr>
            </w:pPr>
          </w:p>
        </w:tc>
        <w:tc>
          <w:tcPr>
            <w:tcW w:w="3811" w:type="dxa"/>
            <w:vAlign w:val="center"/>
          </w:tcPr>
          <w:p w14:paraId="4F9FA9EC">
            <w:pPr>
              <w:pStyle w:val="2"/>
              <w:widowControl w:val="0"/>
              <w:jc w:val="both"/>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每提前1分钟得2分, 满分20分</w:t>
            </w:r>
          </w:p>
        </w:tc>
      </w:tr>
      <w:tr w14:paraId="0E8E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427" w:type="dxa"/>
            <w:noWrap/>
            <w:vAlign w:val="center"/>
          </w:tcPr>
          <w:p w14:paraId="2263FD60">
            <w:pPr>
              <w:pStyle w:val="2"/>
              <w:widowControl w:val="0"/>
              <w:jc w:val="center"/>
              <w:rPr>
                <w:rFonts w:hint="eastAsia" w:ascii="仿宋_GB2312" w:hAnsi="仿宋_GB2312" w:eastAsia="仿宋_GB2312" w:cs="仿宋_GB2312"/>
                <w:snapToGrid/>
                <w:sz w:val="28"/>
                <w:szCs w:val="28"/>
                <w:lang w:eastAsia="zh-CN"/>
              </w:rPr>
            </w:pPr>
            <w:r>
              <w:rPr>
                <w:rFonts w:hint="eastAsia" w:ascii="仿宋_GB2312" w:hAnsi="仿宋_GB2312" w:eastAsia="仿宋_GB2312" w:cs="仿宋_GB2312"/>
                <w:snapToGrid/>
                <w:sz w:val="28"/>
                <w:szCs w:val="28"/>
                <w:lang w:eastAsia="zh-CN"/>
              </w:rPr>
              <w:t>总评</w:t>
            </w:r>
          </w:p>
        </w:tc>
        <w:tc>
          <w:tcPr>
            <w:tcW w:w="7986" w:type="dxa"/>
            <w:gridSpan w:val="3"/>
            <w:noWrap/>
            <w:vAlign w:val="center"/>
          </w:tcPr>
          <w:p w14:paraId="70FBFFB9">
            <w:pPr>
              <w:pStyle w:val="2"/>
              <w:widowControl w:val="0"/>
              <w:jc w:val="center"/>
              <w:rPr>
                <w:rFonts w:hint="eastAsia" w:ascii="仿宋_GB2312" w:hAnsi="仿宋_GB2312" w:eastAsia="仿宋_GB2312" w:cs="仿宋_GB2312"/>
                <w:snapToGrid/>
                <w:sz w:val="28"/>
                <w:szCs w:val="28"/>
                <w:lang w:eastAsia="zh-CN"/>
              </w:rPr>
            </w:pPr>
          </w:p>
        </w:tc>
      </w:tr>
    </w:tbl>
    <w:p w14:paraId="04BB8E12">
      <w:pPr>
        <w:pStyle w:val="2"/>
        <w:spacing w:line="560" w:lineRule="exact"/>
        <w:jc w:val="center"/>
        <w:rPr>
          <w:rFonts w:hint="eastAsia" w:ascii="仿宋_GB2312" w:hAnsi="仿宋_GB2312" w:eastAsia="仿宋_GB2312" w:cs="仿宋_GB2312"/>
          <w:snapToGrid/>
          <w:color w:val="000000" w:themeColor="text1"/>
          <w:sz w:val="32"/>
          <w:szCs w:val="32"/>
          <w:lang w:eastAsia="zh-CN"/>
          <w14:textFill>
            <w14:solidFill>
              <w14:schemeClr w14:val="tx1"/>
            </w14:solidFill>
          </w14:textFill>
        </w:rPr>
      </w:pPr>
      <w:r>
        <w:rPr>
          <w:rFonts w:hint="eastAsia" w:ascii="仿宋_GB2312" w:hAnsi="仿宋_GB2312" w:eastAsia="仿宋_GB2312" w:cs="仿宋_GB2312"/>
          <w:snapToGrid/>
          <w:color w:val="000000" w:themeColor="text1"/>
          <w:sz w:val="32"/>
          <w:szCs w:val="32"/>
          <w:lang w:eastAsia="zh-CN"/>
          <w14:textFill>
            <w14:solidFill>
              <w14:schemeClr w14:val="tx1"/>
            </w14:solidFill>
          </w14:textFill>
        </w:rPr>
        <w:t>空箱堆高机某部件设置</w:t>
      </w:r>
    </w:p>
    <w:tbl>
      <w:tblPr>
        <w:tblStyle w:val="11"/>
        <w:tblW w:w="9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3406"/>
        <w:gridCol w:w="839"/>
        <w:gridCol w:w="3852"/>
      </w:tblGrid>
      <w:tr w14:paraId="391D8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397" w:type="dxa"/>
            <w:noWrap/>
            <w:vAlign w:val="center"/>
          </w:tcPr>
          <w:p w14:paraId="2A45F93E">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类别</w:t>
            </w:r>
          </w:p>
        </w:tc>
        <w:tc>
          <w:tcPr>
            <w:tcW w:w="3406" w:type="dxa"/>
            <w:vAlign w:val="center"/>
          </w:tcPr>
          <w:p w14:paraId="59779BE9">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评分标准</w:t>
            </w:r>
          </w:p>
        </w:tc>
        <w:tc>
          <w:tcPr>
            <w:tcW w:w="839" w:type="dxa"/>
            <w:noWrap/>
            <w:vAlign w:val="center"/>
          </w:tcPr>
          <w:p w14:paraId="5CA5120F">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得分</w:t>
            </w:r>
          </w:p>
        </w:tc>
        <w:tc>
          <w:tcPr>
            <w:tcW w:w="3852" w:type="dxa"/>
            <w:noWrap/>
            <w:vAlign w:val="center"/>
          </w:tcPr>
          <w:p w14:paraId="43B2B02D">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备注说明</w:t>
            </w:r>
          </w:p>
        </w:tc>
      </w:tr>
      <w:tr w14:paraId="6C57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397" w:type="dxa"/>
            <w:noWrap/>
            <w:vAlign w:val="center"/>
          </w:tcPr>
          <w:p w14:paraId="3D29892C">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安全</w:t>
            </w:r>
          </w:p>
        </w:tc>
        <w:tc>
          <w:tcPr>
            <w:tcW w:w="3406" w:type="dxa"/>
            <w:vAlign w:val="center"/>
          </w:tcPr>
          <w:p w14:paraId="7D801EEB">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个人劳保用品及周围环境安全判断(安全帽,劳保鞋,反光工衣)</w:t>
            </w:r>
          </w:p>
        </w:tc>
        <w:tc>
          <w:tcPr>
            <w:tcW w:w="839" w:type="dxa"/>
            <w:noWrap/>
            <w:vAlign w:val="center"/>
          </w:tcPr>
          <w:p w14:paraId="372F1794">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10分</w:t>
            </w:r>
          </w:p>
        </w:tc>
        <w:tc>
          <w:tcPr>
            <w:tcW w:w="3852" w:type="dxa"/>
            <w:vAlign w:val="center"/>
          </w:tcPr>
          <w:p w14:paraId="24A86C7F">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安全帽,劳保鞋,反光工衣缺失一项扣除2分，没有正确佩戴扣除1分,累加</w:t>
            </w:r>
          </w:p>
        </w:tc>
      </w:tr>
      <w:tr w14:paraId="48E8F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noWrap/>
            <w:vAlign w:val="center"/>
          </w:tcPr>
          <w:p w14:paraId="63CA0124">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沟通</w:t>
            </w:r>
          </w:p>
        </w:tc>
        <w:tc>
          <w:tcPr>
            <w:tcW w:w="3406" w:type="dxa"/>
            <w:vAlign w:val="center"/>
          </w:tcPr>
          <w:p w14:paraId="579A9B77">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开工前后与司机沟通</w:t>
            </w:r>
          </w:p>
        </w:tc>
        <w:tc>
          <w:tcPr>
            <w:tcW w:w="839" w:type="dxa"/>
            <w:noWrap/>
            <w:vAlign w:val="center"/>
          </w:tcPr>
          <w:p w14:paraId="614B18D1">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noWrap/>
            <w:vAlign w:val="center"/>
          </w:tcPr>
          <w:p w14:paraId="1903FC0B">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现场没有与司机直接沟通，扣除5分</w:t>
            </w:r>
          </w:p>
        </w:tc>
      </w:tr>
      <w:tr w14:paraId="115D9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restart"/>
            <w:noWrap/>
            <w:vAlign w:val="center"/>
          </w:tcPr>
          <w:p w14:paraId="2D641A57">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过程</w:t>
            </w:r>
          </w:p>
        </w:tc>
        <w:tc>
          <w:tcPr>
            <w:tcW w:w="3406" w:type="dxa"/>
            <w:vMerge w:val="restart"/>
            <w:vAlign w:val="center"/>
          </w:tcPr>
          <w:p w14:paraId="7453501F">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开工前安全措施到位</w:t>
            </w:r>
          </w:p>
        </w:tc>
        <w:tc>
          <w:tcPr>
            <w:tcW w:w="839" w:type="dxa"/>
            <w:vMerge w:val="restart"/>
            <w:vAlign w:val="center"/>
          </w:tcPr>
          <w:p w14:paraId="3B35B145">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10分</w:t>
            </w:r>
          </w:p>
        </w:tc>
        <w:tc>
          <w:tcPr>
            <w:tcW w:w="3852" w:type="dxa"/>
            <w:vAlign w:val="center"/>
          </w:tcPr>
          <w:p w14:paraId="15DE6F39">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上设备没翻（红绿）维修牌，扣除5分,</w:t>
            </w:r>
          </w:p>
        </w:tc>
      </w:tr>
      <w:tr w14:paraId="227EB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4EA89D76">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continue"/>
            <w:vAlign w:val="center"/>
          </w:tcPr>
          <w:p w14:paraId="35AD8964">
            <w:pPr>
              <w:pStyle w:val="2"/>
              <w:widowControl w:val="0"/>
              <w:jc w:val="both"/>
              <w:rPr>
                <w:rFonts w:hint="eastAsia" w:ascii="仿宋_GB2312" w:hAnsi="仿宋_GB2312" w:eastAsia="仿宋_GB2312" w:cs="仿宋_GB2312"/>
                <w:snapToGrid/>
                <w:color w:val="auto"/>
                <w:sz w:val="28"/>
                <w:szCs w:val="28"/>
                <w:lang w:eastAsia="zh-CN"/>
              </w:rPr>
            </w:pPr>
          </w:p>
        </w:tc>
        <w:tc>
          <w:tcPr>
            <w:tcW w:w="839" w:type="dxa"/>
            <w:vMerge w:val="continue"/>
            <w:vAlign w:val="center"/>
          </w:tcPr>
          <w:p w14:paraId="5D7C8CC8">
            <w:pPr>
              <w:pStyle w:val="2"/>
              <w:widowControl w:val="0"/>
              <w:jc w:val="center"/>
              <w:rPr>
                <w:rFonts w:hint="eastAsia" w:ascii="仿宋_GB2312" w:hAnsi="仿宋_GB2312" w:eastAsia="仿宋_GB2312" w:cs="仿宋_GB2312"/>
                <w:snapToGrid/>
                <w:color w:val="auto"/>
                <w:sz w:val="28"/>
                <w:szCs w:val="28"/>
                <w:lang w:eastAsia="zh-CN"/>
              </w:rPr>
            </w:pPr>
          </w:p>
        </w:tc>
        <w:tc>
          <w:tcPr>
            <w:tcW w:w="3852" w:type="dxa"/>
            <w:vAlign w:val="center"/>
          </w:tcPr>
          <w:p w14:paraId="0E31AB20">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没塞三角木（需塞四个），缺一个，扣1分</w:t>
            </w:r>
          </w:p>
        </w:tc>
      </w:tr>
      <w:tr w14:paraId="140F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720AB482">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continue"/>
            <w:vAlign w:val="center"/>
          </w:tcPr>
          <w:p w14:paraId="1FBBC2F5">
            <w:pPr>
              <w:pStyle w:val="2"/>
              <w:widowControl w:val="0"/>
              <w:jc w:val="both"/>
              <w:rPr>
                <w:rFonts w:hint="eastAsia" w:ascii="仿宋_GB2312" w:hAnsi="仿宋_GB2312" w:eastAsia="仿宋_GB2312" w:cs="仿宋_GB2312"/>
                <w:snapToGrid/>
                <w:color w:val="auto"/>
                <w:sz w:val="28"/>
                <w:szCs w:val="28"/>
                <w:lang w:eastAsia="zh-CN"/>
              </w:rPr>
            </w:pPr>
          </w:p>
        </w:tc>
        <w:tc>
          <w:tcPr>
            <w:tcW w:w="839" w:type="dxa"/>
            <w:vMerge w:val="continue"/>
            <w:vAlign w:val="center"/>
          </w:tcPr>
          <w:p w14:paraId="013301DB">
            <w:pPr>
              <w:pStyle w:val="2"/>
              <w:widowControl w:val="0"/>
              <w:jc w:val="center"/>
              <w:rPr>
                <w:rFonts w:hint="eastAsia" w:ascii="仿宋_GB2312" w:hAnsi="仿宋_GB2312" w:eastAsia="仿宋_GB2312" w:cs="仿宋_GB2312"/>
                <w:snapToGrid/>
                <w:color w:val="auto"/>
                <w:sz w:val="28"/>
                <w:szCs w:val="28"/>
                <w:lang w:eastAsia="zh-CN"/>
              </w:rPr>
            </w:pPr>
          </w:p>
        </w:tc>
        <w:tc>
          <w:tcPr>
            <w:tcW w:w="3852" w:type="dxa"/>
            <w:vAlign w:val="center"/>
          </w:tcPr>
          <w:p w14:paraId="1CDAE1AA">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没关闭电源总闸/紧停扣除5分</w:t>
            </w:r>
          </w:p>
        </w:tc>
      </w:tr>
      <w:tr w14:paraId="38B40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40E7A4FD">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Align w:val="center"/>
          </w:tcPr>
          <w:p w14:paraId="11B158EA">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正确使用工具</w:t>
            </w:r>
          </w:p>
        </w:tc>
        <w:tc>
          <w:tcPr>
            <w:tcW w:w="839" w:type="dxa"/>
            <w:vAlign w:val="center"/>
          </w:tcPr>
          <w:p w14:paraId="5BACC074">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vAlign w:val="center"/>
          </w:tcPr>
          <w:p w14:paraId="0D600BDE">
            <w:pPr>
              <w:pStyle w:val="2"/>
              <w:widowControl w:val="0"/>
              <w:jc w:val="both"/>
              <w:rPr>
                <w:rFonts w:hint="eastAsia" w:ascii="仿宋_GB2312" w:hAnsi="仿宋_GB2312" w:eastAsia="仿宋_GB2312" w:cs="仿宋_GB2312"/>
                <w:snapToGrid/>
                <w:color w:val="auto"/>
                <w:sz w:val="28"/>
                <w:szCs w:val="28"/>
                <w:lang w:eastAsia="zh-CN"/>
              </w:rPr>
            </w:pPr>
          </w:p>
        </w:tc>
      </w:tr>
      <w:tr w14:paraId="5184B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6CCE64C4">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Align w:val="center"/>
          </w:tcPr>
          <w:p w14:paraId="44FCAA7D">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正确设置标准及掌握程度</w:t>
            </w:r>
          </w:p>
        </w:tc>
        <w:tc>
          <w:tcPr>
            <w:tcW w:w="839" w:type="dxa"/>
            <w:vAlign w:val="center"/>
          </w:tcPr>
          <w:p w14:paraId="2C255DD8">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10分</w:t>
            </w:r>
          </w:p>
        </w:tc>
        <w:tc>
          <w:tcPr>
            <w:tcW w:w="3852" w:type="dxa"/>
            <w:vAlign w:val="center"/>
          </w:tcPr>
          <w:p w14:paraId="308DF88B">
            <w:pPr>
              <w:pStyle w:val="2"/>
              <w:widowControl w:val="0"/>
              <w:jc w:val="both"/>
              <w:rPr>
                <w:rFonts w:hint="eastAsia" w:ascii="仿宋_GB2312" w:hAnsi="仿宋_GB2312" w:eastAsia="仿宋_GB2312" w:cs="仿宋_GB2312"/>
                <w:snapToGrid/>
                <w:color w:val="auto"/>
                <w:sz w:val="28"/>
                <w:szCs w:val="28"/>
                <w:lang w:eastAsia="zh-CN"/>
              </w:rPr>
            </w:pPr>
          </w:p>
        </w:tc>
      </w:tr>
      <w:tr w14:paraId="1A96F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6B0D81B1">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restart"/>
            <w:vAlign w:val="center"/>
          </w:tcPr>
          <w:p w14:paraId="0035526C">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正确设置顺序</w:t>
            </w:r>
          </w:p>
        </w:tc>
        <w:tc>
          <w:tcPr>
            <w:tcW w:w="839" w:type="dxa"/>
            <w:vMerge w:val="restart"/>
            <w:vAlign w:val="center"/>
          </w:tcPr>
          <w:p w14:paraId="18A7BB19">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20分</w:t>
            </w:r>
          </w:p>
        </w:tc>
        <w:tc>
          <w:tcPr>
            <w:tcW w:w="3852" w:type="dxa"/>
            <w:vAlign w:val="center"/>
          </w:tcPr>
          <w:p w14:paraId="75C17AF5">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每调错一次在本题的总成绩中扣5分。</w:t>
            </w:r>
          </w:p>
        </w:tc>
      </w:tr>
      <w:tr w14:paraId="27000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2DC7214F">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continue"/>
            <w:vAlign w:val="center"/>
          </w:tcPr>
          <w:p w14:paraId="4B5598A2">
            <w:pPr>
              <w:pStyle w:val="2"/>
              <w:widowControl w:val="0"/>
              <w:jc w:val="both"/>
              <w:rPr>
                <w:rFonts w:hint="eastAsia" w:ascii="仿宋_GB2312" w:hAnsi="仿宋_GB2312" w:eastAsia="仿宋_GB2312" w:cs="仿宋_GB2312"/>
                <w:snapToGrid/>
                <w:color w:val="auto"/>
                <w:sz w:val="28"/>
                <w:szCs w:val="28"/>
                <w:lang w:eastAsia="zh-CN"/>
              </w:rPr>
            </w:pPr>
          </w:p>
        </w:tc>
        <w:tc>
          <w:tcPr>
            <w:tcW w:w="839" w:type="dxa"/>
            <w:vMerge w:val="continue"/>
            <w:vAlign w:val="center"/>
          </w:tcPr>
          <w:p w14:paraId="2DCD5CE3">
            <w:pPr>
              <w:pStyle w:val="2"/>
              <w:widowControl w:val="0"/>
              <w:jc w:val="center"/>
              <w:rPr>
                <w:rFonts w:hint="eastAsia" w:ascii="仿宋_GB2312" w:hAnsi="仿宋_GB2312" w:eastAsia="仿宋_GB2312" w:cs="仿宋_GB2312"/>
                <w:snapToGrid/>
                <w:color w:val="auto"/>
                <w:sz w:val="28"/>
                <w:szCs w:val="28"/>
                <w:lang w:eastAsia="zh-CN"/>
              </w:rPr>
            </w:pPr>
          </w:p>
        </w:tc>
        <w:tc>
          <w:tcPr>
            <w:tcW w:w="3852" w:type="dxa"/>
            <w:vAlign w:val="center"/>
          </w:tcPr>
          <w:p w14:paraId="3A7148BB">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累计调错三次，终止本题的后续考核</w:t>
            </w:r>
          </w:p>
        </w:tc>
      </w:tr>
      <w:tr w14:paraId="1714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470ECA69">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Align w:val="center"/>
          </w:tcPr>
          <w:p w14:paraId="1D780ADE">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某部件设置后试机</w:t>
            </w:r>
          </w:p>
        </w:tc>
        <w:tc>
          <w:tcPr>
            <w:tcW w:w="839" w:type="dxa"/>
            <w:vAlign w:val="center"/>
          </w:tcPr>
          <w:p w14:paraId="2145AFA1">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noWrap/>
            <w:vAlign w:val="center"/>
          </w:tcPr>
          <w:p w14:paraId="096F8A2F">
            <w:pPr>
              <w:pStyle w:val="2"/>
              <w:widowControl w:val="0"/>
              <w:jc w:val="left"/>
              <w:rPr>
                <w:rFonts w:hint="eastAsia" w:ascii="仿宋_GB2312" w:hAnsi="仿宋_GB2312" w:eastAsia="仿宋_GB2312" w:cs="仿宋_GB2312"/>
                <w:snapToGrid/>
                <w:color w:val="auto"/>
                <w:sz w:val="28"/>
                <w:szCs w:val="28"/>
                <w:lang w:eastAsia="zh-CN"/>
              </w:rPr>
            </w:pPr>
          </w:p>
        </w:tc>
      </w:tr>
      <w:tr w14:paraId="65C88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17E0286C">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Align w:val="center"/>
          </w:tcPr>
          <w:p w14:paraId="0D7B75BA">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联系司机试机，确认工作完成</w:t>
            </w:r>
          </w:p>
        </w:tc>
        <w:tc>
          <w:tcPr>
            <w:tcW w:w="839" w:type="dxa"/>
            <w:vAlign w:val="center"/>
          </w:tcPr>
          <w:p w14:paraId="546026C7">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noWrap/>
            <w:vAlign w:val="center"/>
          </w:tcPr>
          <w:p w14:paraId="07BC81B4">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没沟通司机交机，扣除2分</w:t>
            </w:r>
          </w:p>
        </w:tc>
      </w:tr>
      <w:tr w14:paraId="2B50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restart"/>
            <w:noWrap/>
            <w:vAlign w:val="center"/>
          </w:tcPr>
          <w:p w14:paraId="5A215286">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收尾工作</w:t>
            </w:r>
          </w:p>
        </w:tc>
        <w:tc>
          <w:tcPr>
            <w:tcW w:w="3406" w:type="dxa"/>
            <w:vAlign w:val="center"/>
          </w:tcPr>
          <w:p w14:paraId="4B67D2BE">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工具是否收拾齐全</w:t>
            </w:r>
          </w:p>
        </w:tc>
        <w:tc>
          <w:tcPr>
            <w:tcW w:w="839" w:type="dxa"/>
            <w:noWrap/>
            <w:vAlign w:val="center"/>
          </w:tcPr>
          <w:p w14:paraId="690CAAB9">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noWrap/>
            <w:vAlign w:val="center"/>
          </w:tcPr>
          <w:p w14:paraId="25FE6409">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遗留工具，扣除5分</w:t>
            </w:r>
          </w:p>
        </w:tc>
      </w:tr>
      <w:tr w14:paraId="6E354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4645E96E">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Align w:val="center"/>
          </w:tcPr>
          <w:p w14:paraId="0318ED64">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现场清洁</w:t>
            </w:r>
          </w:p>
        </w:tc>
        <w:tc>
          <w:tcPr>
            <w:tcW w:w="839" w:type="dxa"/>
            <w:noWrap/>
            <w:vAlign w:val="center"/>
          </w:tcPr>
          <w:p w14:paraId="6E57D34B">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52" w:type="dxa"/>
            <w:noWrap/>
            <w:vAlign w:val="center"/>
          </w:tcPr>
          <w:p w14:paraId="3A51C668">
            <w:pPr>
              <w:pStyle w:val="2"/>
              <w:widowControl w:val="0"/>
              <w:jc w:val="both"/>
              <w:rPr>
                <w:rFonts w:hint="eastAsia" w:ascii="仿宋_GB2312" w:hAnsi="仿宋_GB2312" w:eastAsia="仿宋_GB2312" w:cs="仿宋_GB2312"/>
                <w:snapToGrid/>
                <w:color w:val="auto"/>
                <w:sz w:val="28"/>
                <w:szCs w:val="28"/>
                <w:lang w:eastAsia="zh-CN"/>
              </w:rPr>
            </w:pPr>
          </w:p>
        </w:tc>
      </w:tr>
      <w:tr w14:paraId="0AB64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restart"/>
            <w:noWrap/>
            <w:vAlign w:val="center"/>
          </w:tcPr>
          <w:p w14:paraId="0DC04C2F">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时间</w:t>
            </w:r>
          </w:p>
        </w:tc>
        <w:tc>
          <w:tcPr>
            <w:tcW w:w="3406" w:type="dxa"/>
            <w:vMerge w:val="restart"/>
            <w:vAlign w:val="center"/>
          </w:tcPr>
          <w:p w14:paraId="25374EDD">
            <w:pPr>
              <w:pStyle w:val="2"/>
              <w:widowControl w:val="0"/>
              <w:jc w:val="both"/>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工作速度及效率</w:t>
            </w:r>
          </w:p>
        </w:tc>
        <w:tc>
          <w:tcPr>
            <w:tcW w:w="839" w:type="dxa"/>
            <w:vMerge w:val="restart"/>
            <w:noWrap/>
            <w:vAlign w:val="center"/>
          </w:tcPr>
          <w:p w14:paraId="55D93911">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20分</w:t>
            </w:r>
          </w:p>
        </w:tc>
        <w:tc>
          <w:tcPr>
            <w:tcW w:w="3852" w:type="dxa"/>
            <w:vAlign w:val="center"/>
          </w:tcPr>
          <w:p w14:paraId="096F37A4">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以25分钟完成为基准0分</w:t>
            </w:r>
          </w:p>
        </w:tc>
      </w:tr>
      <w:tr w14:paraId="3FAA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0E10B940">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continue"/>
            <w:vAlign w:val="center"/>
          </w:tcPr>
          <w:p w14:paraId="329F9023">
            <w:pPr>
              <w:pStyle w:val="2"/>
              <w:widowControl w:val="0"/>
              <w:jc w:val="both"/>
              <w:rPr>
                <w:rFonts w:hint="eastAsia" w:ascii="仿宋_GB2312" w:hAnsi="仿宋_GB2312" w:eastAsia="仿宋_GB2312" w:cs="仿宋_GB2312"/>
                <w:snapToGrid/>
                <w:color w:val="auto"/>
                <w:sz w:val="28"/>
                <w:szCs w:val="28"/>
                <w:lang w:eastAsia="zh-CN"/>
              </w:rPr>
            </w:pPr>
          </w:p>
        </w:tc>
        <w:tc>
          <w:tcPr>
            <w:tcW w:w="839" w:type="dxa"/>
            <w:vMerge w:val="continue"/>
            <w:vAlign w:val="center"/>
          </w:tcPr>
          <w:p w14:paraId="2E6957EC">
            <w:pPr>
              <w:pStyle w:val="2"/>
              <w:widowControl w:val="0"/>
              <w:jc w:val="center"/>
              <w:rPr>
                <w:rFonts w:hint="eastAsia" w:ascii="仿宋_GB2312" w:hAnsi="仿宋_GB2312" w:eastAsia="仿宋_GB2312" w:cs="仿宋_GB2312"/>
                <w:snapToGrid/>
                <w:color w:val="auto"/>
                <w:sz w:val="28"/>
                <w:szCs w:val="28"/>
                <w:lang w:eastAsia="zh-CN"/>
              </w:rPr>
            </w:pPr>
          </w:p>
        </w:tc>
        <w:tc>
          <w:tcPr>
            <w:tcW w:w="3852" w:type="dxa"/>
            <w:vAlign w:val="center"/>
          </w:tcPr>
          <w:p w14:paraId="1A5EBDF9">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用时超过25分钟，本项不得分</w:t>
            </w:r>
          </w:p>
        </w:tc>
      </w:tr>
      <w:tr w14:paraId="1D419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97" w:type="dxa"/>
            <w:vMerge w:val="continue"/>
            <w:vAlign w:val="center"/>
          </w:tcPr>
          <w:p w14:paraId="10C7A95D">
            <w:pPr>
              <w:pStyle w:val="2"/>
              <w:widowControl w:val="0"/>
              <w:jc w:val="center"/>
              <w:rPr>
                <w:rFonts w:hint="eastAsia" w:ascii="仿宋_GB2312" w:hAnsi="仿宋_GB2312" w:eastAsia="仿宋_GB2312" w:cs="仿宋_GB2312"/>
                <w:snapToGrid/>
                <w:color w:val="auto"/>
                <w:sz w:val="28"/>
                <w:szCs w:val="28"/>
                <w:lang w:eastAsia="zh-CN"/>
              </w:rPr>
            </w:pPr>
          </w:p>
        </w:tc>
        <w:tc>
          <w:tcPr>
            <w:tcW w:w="3406" w:type="dxa"/>
            <w:vMerge w:val="continue"/>
            <w:vAlign w:val="center"/>
          </w:tcPr>
          <w:p w14:paraId="56B908B6">
            <w:pPr>
              <w:pStyle w:val="2"/>
              <w:widowControl w:val="0"/>
              <w:jc w:val="both"/>
              <w:rPr>
                <w:rFonts w:hint="eastAsia" w:ascii="仿宋_GB2312" w:hAnsi="仿宋_GB2312" w:eastAsia="仿宋_GB2312" w:cs="仿宋_GB2312"/>
                <w:snapToGrid/>
                <w:color w:val="auto"/>
                <w:sz w:val="28"/>
                <w:szCs w:val="28"/>
                <w:lang w:eastAsia="zh-CN"/>
              </w:rPr>
            </w:pPr>
          </w:p>
        </w:tc>
        <w:tc>
          <w:tcPr>
            <w:tcW w:w="839" w:type="dxa"/>
            <w:vMerge w:val="continue"/>
            <w:vAlign w:val="center"/>
          </w:tcPr>
          <w:p w14:paraId="1390033D">
            <w:pPr>
              <w:pStyle w:val="2"/>
              <w:widowControl w:val="0"/>
              <w:jc w:val="center"/>
              <w:rPr>
                <w:rFonts w:hint="eastAsia" w:ascii="仿宋_GB2312" w:hAnsi="仿宋_GB2312" w:eastAsia="仿宋_GB2312" w:cs="仿宋_GB2312"/>
                <w:snapToGrid/>
                <w:color w:val="auto"/>
                <w:sz w:val="28"/>
                <w:szCs w:val="28"/>
                <w:lang w:eastAsia="zh-CN"/>
              </w:rPr>
            </w:pPr>
          </w:p>
        </w:tc>
        <w:tc>
          <w:tcPr>
            <w:tcW w:w="3852" w:type="dxa"/>
            <w:vAlign w:val="center"/>
          </w:tcPr>
          <w:p w14:paraId="16D8FBD3">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每提前1分钟得2分,满分20分</w:t>
            </w:r>
          </w:p>
        </w:tc>
      </w:tr>
      <w:tr w14:paraId="0BE6C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97" w:type="dxa"/>
            <w:noWrap/>
            <w:vAlign w:val="center"/>
          </w:tcPr>
          <w:p w14:paraId="795C0E9C">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总评</w:t>
            </w:r>
          </w:p>
        </w:tc>
        <w:tc>
          <w:tcPr>
            <w:tcW w:w="8097" w:type="dxa"/>
            <w:gridSpan w:val="3"/>
            <w:noWrap/>
            <w:vAlign w:val="center"/>
          </w:tcPr>
          <w:p w14:paraId="5BA96078">
            <w:pPr>
              <w:pStyle w:val="2"/>
              <w:widowControl w:val="0"/>
              <w:jc w:val="center"/>
              <w:rPr>
                <w:rFonts w:hint="eastAsia" w:ascii="仿宋_GB2312" w:hAnsi="仿宋_GB2312" w:eastAsia="仿宋_GB2312" w:cs="仿宋_GB2312"/>
                <w:snapToGrid/>
                <w:color w:val="auto"/>
                <w:sz w:val="28"/>
                <w:szCs w:val="28"/>
                <w:lang w:eastAsia="zh-CN"/>
              </w:rPr>
            </w:pPr>
          </w:p>
        </w:tc>
      </w:tr>
    </w:tbl>
    <w:p w14:paraId="2F889571">
      <w:pPr>
        <w:pStyle w:val="2"/>
        <w:spacing w:line="560" w:lineRule="exact"/>
        <w:jc w:val="center"/>
        <w:rPr>
          <w:rFonts w:hint="eastAsia" w:ascii="仿宋_GB2312" w:hAnsi="仿宋_GB2312" w:eastAsia="仿宋_GB2312" w:cs="仿宋_GB2312"/>
          <w:snapToGrid/>
          <w:color w:val="000000" w:themeColor="text1"/>
          <w:sz w:val="32"/>
          <w:szCs w:val="32"/>
          <w:lang w:eastAsia="zh-CN"/>
          <w14:textFill>
            <w14:solidFill>
              <w14:schemeClr w14:val="tx1"/>
            </w14:solidFill>
          </w14:textFill>
        </w:rPr>
      </w:pPr>
      <w:r>
        <w:rPr>
          <w:rFonts w:hint="eastAsia" w:ascii="仿宋_GB2312" w:hAnsi="仿宋_GB2312" w:eastAsia="仿宋_GB2312" w:cs="仿宋_GB2312"/>
          <w:snapToGrid/>
          <w:color w:val="000000" w:themeColor="text1"/>
          <w:sz w:val="32"/>
          <w:szCs w:val="32"/>
          <w:lang w:eastAsia="zh-CN"/>
          <w14:textFill>
            <w14:solidFill>
              <w14:schemeClr w14:val="tx1"/>
            </w14:solidFill>
          </w14:textFill>
        </w:rPr>
        <w:t>空箱堆高机</w:t>
      </w:r>
      <w:r>
        <w:rPr>
          <w:rFonts w:hint="eastAsia" w:ascii="仿宋_GB2312" w:hAnsi="仿宋_GB2312" w:eastAsia="仿宋_GB2312" w:cs="仿宋_GB2312"/>
          <w:color w:val="000000" w:themeColor="text1"/>
          <w:sz w:val="32"/>
          <w:szCs w:val="32"/>
          <w:lang w:eastAsia="zh-CN"/>
          <w14:textFill>
            <w14:solidFill>
              <w14:schemeClr w14:val="tx1"/>
            </w14:solidFill>
          </w14:textFill>
        </w:rPr>
        <w:t>故障处理评分标准</w:t>
      </w:r>
    </w:p>
    <w:tbl>
      <w:tblPr>
        <w:tblStyle w:val="11"/>
        <w:tblW w:w="9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3250"/>
        <w:gridCol w:w="900"/>
        <w:gridCol w:w="3896"/>
      </w:tblGrid>
      <w:tr w14:paraId="4F371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413" w:type="dxa"/>
            <w:noWrap/>
            <w:vAlign w:val="center"/>
          </w:tcPr>
          <w:p w14:paraId="25D9E15A">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类别</w:t>
            </w:r>
          </w:p>
        </w:tc>
        <w:tc>
          <w:tcPr>
            <w:tcW w:w="3250" w:type="dxa"/>
            <w:vAlign w:val="center"/>
          </w:tcPr>
          <w:p w14:paraId="32A6F03F">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评分标准</w:t>
            </w:r>
          </w:p>
        </w:tc>
        <w:tc>
          <w:tcPr>
            <w:tcW w:w="900" w:type="dxa"/>
            <w:noWrap/>
            <w:vAlign w:val="center"/>
          </w:tcPr>
          <w:p w14:paraId="495B5D5B">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配分</w:t>
            </w:r>
          </w:p>
        </w:tc>
        <w:tc>
          <w:tcPr>
            <w:tcW w:w="3896" w:type="dxa"/>
            <w:noWrap/>
            <w:vAlign w:val="center"/>
          </w:tcPr>
          <w:p w14:paraId="511935F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备注说明</w:t>
            </w:r>
          </w:p>
        </w:tc>
      </w:tr>
      <w:tr w14:paraId="504F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13" w:type="dxa"/>
            <w:noWrap/>
            <w:vAlign w:val="center"/>
          </w:tcPr>
          <w:p w14:paraId="0F4B21C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安全</w:t>
            </w:r>
          </w:p>
        </w:tc>
        <w:tc>
          <w:tcPr>
            <w:tcW w:w="3250" w:type="dxa"/>
            <w:vAlign w:val="center"/>
          </w:tcPr>
          <w:p w14:paraId="505A8DE7">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个人劳保用品及周围环境安全判断(安全帽,劳保鞋,反光工衣)</w:t>
            </w:r>
          </w:p>
        </w:tc>
        <w:tc>
          <w:tcPr>
            <w:tcW w:w="900" w:type="dxa"/>
            <w:noWrap/>
            <w:vAlign w:val="center"/>
          </w:tcPr>
          <w:p w14:paraId="3D02B7E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10分</w:t>
            </w:r>
          </w:p>
        </w:tc>
        <w:tc>
          <w:tcPr>
            <w:tcW w:w="3896" w:type="dxa"/>
            <w:vAlign w:val="center"/>
          </w:tcPr>
          <w:p w14:paraId="2C54E7DD">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安全帽,劳保鞋,反光工衣缺失一项扣除2分，没有正确佩戴扣除1分,累加</w:t>
            </w:r>
          </w:p>
        </w:tc>
      </w:tr>
      <w:tr w14:paraId="7D85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13" w:type="dxa"/>
            <w:noWrap/>
            <w:vAlign w:val="center"/>
          </w:tcPr>
          <w:p w14:paraId="228A02A7">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沟通</w:t>
            </w:r>
          </w:p>
        </w:tc>
        <w:tc>
          <w:tcPr>
            <w:tcW w:w="3250" w:type="dxa"/>
            <w:vAlign w:val="center"/>
          </w:tcPr>
          <w:p w14:paraId="23949723">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开工前后与司机沟通</w:t>
            </w:r>
          </w:p>
        </w:tc>
        <w:tc>
          <w:tcPr>
            <w:tcW w:w="900" w:type="dxa"/>
            <w:noWrap/>
            <w:vAlign w:val="center"/>
          </w:tcPr>
          <w:p w14:paraId="1676E4B9">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5分</w:t>
            </w:r>
          </w:p>
        </w:tc>
        <w:tc>
          <w:tcPr>
            <w:tcW w:w="3896" w:type="dxa"/>
            <w:noWrap/>
            <w:vAlign w:val="center"/>
          </w:tcPr>
          <w:p w14:paraId="6A3139DD">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现场没有与司机直接沟通，扣除5分</w:t>
            </w:r>
          </w:p>
        </w:tc>
      </w:tr>
      <w:tr w14:paraId="6453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13" w:type="dxa"/>
            <w:vMerge w:val="restart"/>
            <w:noWrap/>
            <w:vAlign w:val="center"/>
          </w:tcPr>
          <w:p w14:paraId="0DCAE53B">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过程</w:t>
            </w:r>
          </w:p>
        </w:tc>
        <w:tc>
          <w:tcPr>
            <w:tcW w:w="3250" w:type="dxa"/>
            <w:vMerge w:val="restart"/>
            <w:vAlign w:val="center"/>
          </w:tcPr>
          <w:p w14:paraId="3BC8B4B8">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开工前安全措施到位</w:t>
            </w:r>
          </w:p>
        </w:tc>
        <w:tc>
          <w:tcPr>
            <w:tcW w:w="900" w:type="dxa"/>
            <w:vMerge w:val="restart"/>
            <w:vAlign w:val="center"/>
          </w:tcPr>
          <w:p w14:paraId="1DC9B7BC">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5分</w:t>
            </w:r>
          </w:p>
        </w:tc>
        <w:tc>
          <w:tcPr>
            <w:tcW w:w="3896" w:type="dxa"/>
            <w:vAlign w:val="center"/>
          </w:tcPr>
          <w:p w14:paraId="5E9A664F">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上设备没翻（红绿）维修牌，扣除5分</w:t>
            </w:r>
          </w:p>
        </w:tc>
      </w:tr>
      <w:tr w14:paraId="50284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13" w:type="dxa"/>
            <w:vMerge w:val="continue"/>
            <w:vAlign w:val="center"/>
          </w:tcPr>
          <w:p w14:paraId="001FB38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Merge w:val="continue"/>
            <w:vAlign w:val="center"/>
          </w:tcPr>
          <w:p w14:paraId="5B35F0B1">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900" w:type="dxa"/>
            <w:vMerge w:val="continue"/>
            <w:vAlign w:val="center"/>
          </w:tcPr>
          <w:p w14:paraId="3F5FA32C">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896" w:type="dxa"/>
            <w:vAlign w:val="center"/>
          </w:tcPr>
          <w:p w14:paraId="5303B449">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没塞三角木（需塞四个），缺一个，扣1分</w:t>
            </w:r>
          </w:p>
        </w:tc>
      </w:tr>
      <w:tr w14:paraId="295F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13" w:type="dxa"/>
            <w:vMerge w:val="continue"/>
            <w:vAlign w:val="center"/>
          </w:tcPr>
          <w:p w14:paraId="33DA2AD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53A94EBE">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确定为故障机构范围，查看故障显示屏,重新核对</w:t>
            </w:r>
          </w:p>
        </w:tc>
        <w:tc>
          <w:tcPr>
            <w:tcW w:w="900" w:type="dxa"/>
            <w:vAlign w:val="center"/>
          </w:tcPr>
          <w:p w14:paraId="213EBF6B">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10分</w:t>
            </w:r>
          </w:p>
        </w:tc>
        <w:tc>
          <w:tcPr>
            <w:tcW w:w="3896" w:type="dxa"/>
            <w:vAlign w:val="center"/>
          </w:tcPr>
          <w:p w14:paraId="7F423107">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通过驾驶室设备显示屏查看故障代码</w:t>
            </w:r>
          </w:p>
        </w:tc>
      </w:tr>
      <w:tr w14:paraId="0C60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13" w:type="dxa"/>
            <w:vMerge w:val="continue"/>
            <w:vAlign w:val="center"/>
          </w:tcPr>
          <w:p w14:paraId="5B347D19">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07B00FF0">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检查故障相关电气线路/液压回路图检查回路</w:t>
            </w:r>
          </w:p>
        </w:tc>
        <w:tc>
          <w:tcPr>
            <w:tcW w:w="900" w:type="dxa"/>
            <w:vAlign w:val="center"/>
          </w:tcPr>
          <w:p w14:paraId="0860143A">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10分</w:t>
            </w:r>
          </w:p>
        </w:tc>
        <w:tc>
          <w:tcPr>
            <w:tcW w:w="3896" w:type="dxa"/>
            <w:vAlign w:val="center"/>
          </w:tcPr>
          <w:p w14:paraId="68F4A4B9">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r>
      <w:tr w14:paraId="5042F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13" w:type="dxa"/>
            <w:vMerge w:val="continue"/>
            <w:vAlign w:val="center"/>
          </w:tcPr>
          <w:p w14:paraId="62C9265F">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59D1EBFE">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实际线路排查，找到故障点</w:t>
            </w:r>
          </w:p>
        </w:tc>
        <w:tc>
          <w:tcPr>
            <w:tcW w:w="900" w:type="dxa"/>
            <w:vAlign w:val="center"/>
          </w:tcPr>
          <w:p w14:paraId="6557552D">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20分</w:t>
            </w:r>
          </w:p>
        </w:tc>
        <w:tc>
          <w:tcPr>
            <w:tcW w:w="3896" w:type="dxa"/>
            <w:vAlign w:val="center"/>
          </w:tcPr>
          <w:p w14:paraId="626B7A62">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r>
      <w:tr w14:paraId="0204E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13" w:type="dxa"/>
            <w:vMerge w:val="continue"/>
            <w:vAlign w:val="center"/>
          </w:tcPr>
          <w:p w14:paraId="33E5C1D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10491CC9">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安全措施(先验电)，后接入线措施</w:t>
            </w:r>
          </w:p>
        </w:tc>
        <w:tc>
          <w:tcPr>
            <w:tcW w:w="900" w:type="dxa"/>
            <w:vAlign w:val="center"/>
          </w:tcPr>
          <w:p w14:paraId="5FE204CA">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5分</w:t>
            </w:r>
          </w:p>
        </w:tc>
        <w:tc>
          <w:tcPr>
            <w:tcW w:w="3896" w:type="dxa"/>
            <w:noWrap/>
            <w:vAlign w:val="center"/>
          </w:tcPr>
          <w:p w14:paraId="7CDE94F1">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没有验电，扣除5分</w:t>
            </w:r>
          </w:p>
        </w:tc>
      </w:tr>
      <w:tr w14:paraId="71BF8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13" w:type="dxa"/>
            <w:vMerge w:val="continue"/>
            <w:vAlign w:val="center"/>
          </w:tcPr>
          <w:p w14:paraId="1021BD31">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7963B83F">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联系司机试机，确认工作完成</w:t>
            </w:r>
          </w:p>
        </w:tc>
        <w:tc>
          <w:tcPr>
            <w:tcW w:w="900" w:type="dxa"/>
            <w:vAlign w:val="center"/>
          </w:tcPr>
          <w:p w14:paraId="01A0499E">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5分</w:t>
            </w:r>
          </w:p>
        </w:tc>
        <w:tc>
          <w:tcPr>
            <w:tcW w:w="3896" w:type="dxa"/>
            <w:noWrap/>
            <w:vAlign w:val="center"/>
          </w:tcPr>
          <w:p w14:paraId="7D34E845">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没沟通司机交机，扣除2分</w:t>
            </w:r>
          </w:p>
        </w:tc>
      </w:tr>
      <w:tr w14:paraId="30CF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13" w:type="dxa"/>
            <w:vMerge w:val="restart"/>
            <w:noWrap/>
            <w:vAlign w:val="center"/>
          </w:tcPr>
          <w:p w14:paraId="5D00B1CA">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收尾工作</w:t>
            </w:r>
          </w:p>
        </w:tc>
        <w:tc>
          <w:tcPr>
            <w:tcW w:w="3250" w:type="dxa"/>
            <w:vAlign w:val="center"/>
          </w:tcPr>
          <w:p w14:paraId="7EB16B9E">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工具是否收拾齐全</w:t>
            </w:r>
          </w:p>
        </w:tc>
        <w:tc>
          <w:tcPr>
            <w:tcW w:w="900" w:type="dxa"/>
            <w:noWrap/>
            <w:vAlign w:val="center"/>
          </w:tcPr>
          <w:p w14:paraId="777A9969">
            <w:pPr>
              <w:pStyle w:val="2"/>
              <w:widowControl w:val="0"/>
              <w:jc w:val="center"/>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5分</w:t>
            </w:r>
          </w:p>
        </w:tc>
        <w:tc>
          <w:tcPr>
            <w:tcW w:w="3896" w:type="dxa"/>
            <w:noWrap/>
            <w:vAlign w:val="center"/>
          </w:tcPr>
          <w:p w14:paraId="355C4BA7">
            <w:pPr>
              <w:pStyle w:val="2"/>
              <w:widowControl w:val="0"/>
              <w:jc w:val="left"/>
              <w:rPr>
                <w:rFonts w:hint="eastAsia" w:ascii="仿宋_GB2312" w:hAnsi="仿宋_GB2312" w:eastAsia="仿宋_GB2312" w:cs="仿宋_GB2312"/>
                <w:snapToGrid/>
                <w:color w:val="auto"/>
                <w:sz w:val="28"/>
                <w:szCs w:val="28"/>
                <w:lang w:eastAsia="zh-CN"/>
              </w:rPr>
            </w:pPr>
            <w:r>
              <w:rPr>
                <w:rFonts w:hint="eastAsia" w:ascii="仿宋_GB2312" w:hAnsi="仿宋_GB2312" w:eastAsia="仿宋_GB2312" w:cs="仿宋_GB2312"/>
                <w:snapToGrid/>
                <w:color w:val="auto"/>
                <w:sz w:val="28"/>
                <w:szCs w:val="28"/>
                <w:lang w:eastAsia="zh-CN"/>
              </w:rPr>
              <w:t>遗留工具，扣除5分</w:t>
            </w:r>
          </w:p>
        </w:tc>
      </w:tr>
      <w:tr w14:paraId="5169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13" w:type="dxa"/>
            <w:vMerge w:val="continue"/>
            <w:vAlign w:val="center"/>
          </w:tcPr>
          <w:p w14:paraId="14E190F0">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Align w:val="center"/>
          </w:tcPr>
          <w:p w14:paraId="2C81F4D2">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现场清洁</w:t>
            </w:r>
          </w:p>
        </w:tc>
        <w:tc>
          <w:tcPr>
            <w:tcW w:w="900" w:type="dxa"/>
            <w:noWrap/>
            <w:vAlign w:val="center"/>
          </w:tcPr>
          <w:p w14:paraId="1099E785">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5分</w:t>
            </w:r>
          </w:p>
        </w:tc>
        <w:tc>
          <w:tcPr>
            <w:tcW w:w="3896" w:type="dxa"/>
            <w:noWrap/>
            <w:vAlign w:val="center"/>
          </w:tcPr>
          <w:p w14:paraId="7B539AE0">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r>
      <w:tr w14:paraId="73569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413" w:type="dxa"/>
            <w:vMerge w:val="restart"/>
            <w:noWrap/>
            <w:vAlign w:val="center"/>
          </w:tcPr>
          <w:p w14:paraId="578ABADB">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时间</w:t>
            </w:r>
          </w:p>
        </w:tc>
        <w:tc>
          <w:tcPr>
            <w:tcW w:w="3250" w:type="dxa"/>
            <w:vMerge w:val="restart"/>
            <w:vAlign w:val="center"/>
          </w:tcPr>
          <w:p w14:paraId="002F396E">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工作速度及效率</w:t>
            </w:r>
          </w:p>
        </w:tc>
        <w:tc>
          <w:tcPr>
            <w:tcW w:w="900" w:type="dxa"/>
            <w:vMerge w:val="restart"/>
            <w:noWrap/>
            <w:vAlign w:val="center"/>
          </w:tcPr>
          <w:p w14:paraId="2EBAEA95">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20分</w:t>
            </w:r>
          </w:p>
        </w:tc>
        <w:tc>
          <w:tcPr>
            <w:tcW w:w="3896" w:type="dxa"/>
            <w:vAlign w:val="center"/>
          </w:tcPr>
          <w:p w14:paraId="53C623C1">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以25分钟完成为基准0分</w:t>
            </w:r>
          </w:p>
        </w:tc>
      </w:tr>
      <w:tr w14:paraId="6213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413" w:type="dxa"/>
            <w:vMerge w:val="continue"/>
            <w:vAlign w:val="center"/>
          </w:tcPr>
          <w:p w14:paraId="5B34C995">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Merge w:val="continue"/>
            <w:vAlign w:val="center"/>
          </w:tcPr>
          <w:p w14:paraId="1326458E">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900" w:type="dxa"/>
            <w:vMerge w:val="continue"/>
            <w:vAlign w:val="center"/>
          </w:tcPr>
          <w:p w14:paraId="3E4705B1">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896" w:type="dxa"/>
            <w:vAlign w:val="center"/>
          </w:tcPr>
          <w:p w14:paraId="45B23E7A">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用时超过25分钟，本项不得分</w:t>
            </w:r>
          </w:p>
        </w:tc>
      </w:tr>
      <w:tr w14:paraId="0E48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413" w:type="dxa"/>
            <w:vMerge w:val="continue"/>
            <w:vAlign w:val="center"/>
          </w:tcPr>
          <w:p w14:paraId="27D656AE">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250" w:type="dxa"/>
            <w:vMerge w:val="continue"/>
            <w:vAlign w:val="center"/>
          </w:tcPr>
          <w:p w14:paraId="64C81565">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900" w:type="dxa"/>
            <w:vMerge w:val="continue"/>
            <w:vAlign w:val="center"/>
          </w:tcPr>
          <w:p w14:paraId="6AE9A8C4">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c>
          <w:tcPr>
            <w:tcW w:w="3896" w:type="dxa"/>
            <w:vAlign w:val="center"/>
          </w:tcPr>
          <w:p w14:paraId="20FC68AE">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每提前1分钟得2分,满分20分</w:t>
            </w:r>
          </w:p>
        </w:tc>
      </w:tr>
      <w:tr w14:paraId="6DADD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413" w:type="dxa"/>
            <w:noWrap/>
            <w:vAlign w:val="center"/>
          </w:tcPr>
          <w:p w14:paraId="159E8DAD">
            <w:pPr>
              <w:pStyle w:val="2"/>
              <w:widowControl w:val="0"/>
              <w:jc w:val="center"/>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r>
              <w:rPr>
                <w:rFonts w:hint="eastAsia" w:ascii="仿宋_GB2312" w:hAnsi="仿宋_GB2312" w:eastAsia="仿宋_GB2312" w:cs="仿宋_GB2312"/>
                <w:snapToGrid/>
                <w:color w:val="000000" w:themeColor="text1"/>
                <w:sz w:val="28"/>
                <w:szCs w:val="28"/>
                <w:lang w:eastAsia="zh-CN"/>
                <w14:textFill>
                  <w14:solidFill>
                    <w14:schemeClr w14:val="tx1"/>
                  </w14:solidFill>
                </w14:textFill>
              </w:rPr>
              <w:t>总评</w:t>
            </w:r>
          </w:p>
        </w:tc>
        <w:tc>
          <w:tcPr>
            <w:tcW w:w="8046" w:type="dxa"/>
            <w:gridSpan w:val="3"/>
            <w:noWrap/>
            <w:vAlign w:val="center"/>
          </w:tcPr>
          <w:p w14:paraId="7EADD413">
            <w:pPr>
              <w:pStyle w:val="2"/>
              <w:widowControl w:val="0"/>
              <w:jc w:val="left"/>
              <w:rPr>
                <w:rFonts w:hint="eastAsia" w:ascii="仿宋_GB2312" w:hAnsi="仿宋_GB2312" w:eastAsia="仿宋_GB2312" w:cs="仿宋_GB2312"/>
                <w:snapToGrid/>
                <w:color w:val="000000" w:themeColor="text1"/>
                <w:sz w:val="28"/>
                <w:szCs w:val="28"/>
                <w:lang w:eastAsia="zh-CN"/>
                <w14:textFill>
                  <w14:solidFill>
                    <w14:schemeClr w14:val="tx1"/>
                  </w14:solidFill>
                </w14:textFill>
              </w:rPr>
            </w:pPr>
          </w:p>
        </w:tc>
      </w:tr>
    </w:tbl>
    <w:p w14:paraId="427281B2">
      <w:pPr>
        <w:widowControl w:val="0"/>
        <w:kinsoku/>
        <w:autoSpaceDE/>
        <w:autoSpaceDN/>
        <w:spacing w:line="560" w:lineRule="exact"/>
        <w:textAlignment w:val="auto"/>
        <w:rPr>
          <w:rFonts w:hint="eastAsia" w:ascii="仿宋_GB2312" w:hAnsi="仿宋_GB2312" w:eastAsia="仿宋_GB2312" w:cs="仿宋_GB2312"/>
          <w:snapToGrid/>
          <w:sz w:val="32"/>
          <w:szCs w:val="32"/>
          <w:lang w:eastAsia="zh-CN"/>
        </w:rPr>
      </w:pPr>
      <w:r>
        <w:rPr>
          <w:rFonts w:hint="eastAsia" w:ascii="仿宋_GB2312" w:hAnsi="仿宋_GB2312" w:eastAsia="仿宋_GB2312" w:cs="仿宋_GB2312"/>
          <w:sz w:val="32"/>
          <w:szCs w:val="32"/>
          <w:lang w:eastAsia="zh-CN"/>
        </w:rPr>
        <w:t>注：具体评分细则以裁判评分表为准。</w:t>
      </w:r>
    </w:p>
    <w:p w14:paraId="3DE6641A">
      <w:pPr>
        <w:spacing w:line="580" w:lineRule="exac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四、成绩评定办法</w:t>
      </w:r>
    </w:p>
    <w:p w14:paraId="4A9B1C80">
      <w:pPr>
        <w:widowControl w:val="0"/>
        <w:kinsoku/>
        <w:autoSpaceDE/>
        <w:autoSpaceDN/>
        <w:spacing w:line="560" w:lineRule="exact"/>
        <w:ind w:firstLine="640" w:firstLineChars="200"/>
        <w:textAlignment w:val="auto"/>
        <w:rPr>
          <w:rFonts w:hint="eastAsia" w:ascii="仿宋_GB2312" w:hAnsi="仿宋_GB2312" w:eastAsia="仿宋_GB2312" w:cs="仿宋_GB2312"/>
          <w:sz w:val="32"/>
          <w:szCs w:val="32"/>
          <w:lang w:eastAsia="zh-CN"/>
        </w:rPr>
      </w:pPr>
      <w:bookmarkStart w:id="7" w:name="_Hlk517772471"/>
      <w:r>
        <w:rPr>
          <w:rFonts w:hint="eastAsia" w:ascii="仿宋_GB2312" w:hAnsi="仿宋_GB2312" w:eastAsia="仿宋_GB2312" w:cs="仿宋_GB2312"/>
          <w:sz w:val="32"/>
          <w:szCs w:val="32"/>
          <w:lang w:eastAsia="zh-CN"/>
        </w:rPr>
        <w:t>（一）参赛选手的成绩评定由竞赛裁判组负责，裁判长对最终成绩签字确认。</w:t>
      </w:r>
    </w:p>
    <w:p w14:paraId="3BA13949">
      <w:pPr>
        <w:widowControl w:val="0"/>
        <w:kinsoku/>
        <w:autoSpaceDE/>
        <w:autoSpaceDN/>
        <w:spacing w:line="560" w:lineRule="exact"/>
        <w:ind w:firstLine="640" w:firstLineChars="200"/>
        <w:textAlignment w:val="auto"/>
        <w:rPr>
          <w:rFonts w:hint="eastAsia" w:ascii="仿宋_GB2312" w:hAnsi="仿宋_GB2312" w:eastAsia="仿宋_GB2312" w:cs="仿宋_GB2312"/>
          <w:spacing w:val="-11"/>
          <w:sz w:val="32"/>
          <w:szCs w:val="32"/>
          <w:lang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pacing w:val="-11"/>
          <w:sz w:val="32"/>
          <w:szCs w:val="32"/>
          <w:lang w:eastAsia="zh-CN"/>
        </w:rPr>
        <w:t>初赛为理论知识竞赛由裁判根据评分标准答案判分</w:t>
      </w:r>
      <w:r>
        <w:rPr>
          <w:rFonts w:hint="eastAsia" w:ascii="仿宋_GB2312" w:hAnsi="仿宋_GB2312" w:eastAsia="仿宋_GB2312" w:cs="仿宋_GB2312"/>
          <w:sz w:val="32"/>
          <w:szCs w:val="32"/>
          <w:lang w:eastAsia="zh-CN"/>
        </w:rPr>
        <w:t>，若分数相同时，用时短者名次在前</w:t>
      </w:r>
      <w:r>
        <w:rPr>
          <w:rFonts w:hint="eastAsia" w:ascii="仿宋_GB2312" w:hAnsi="仿宋_GB2312" w:eastAsia="仿宋_GB2312" w:cs="仿宋_GB2312"/>
          <w:spacing w:val="-11"/>
          <w:sz w:val="32"/>
          <w:szCs w:val="32"/>
          <w:lang w:eastAsia="zh-CN"/>
        </w:rPr>
        <w:t>。</w:t>
      </w:r>
    </w:p>
    <w:p w14:paraId="331F76BE">
      <w:pPr>
        <w:widowControl w:val="0"/>
        <w:kinsoku/>
        <w:autoSpaceDE/>
        <w:autoSpaceDN/>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（三）决赛实际操作竞赛由现场裁判组依据参赛选手的</w:t>
      </w:r>
      <w:r>
        <w:rPr>
          <w:rFonts w:hint="eastAsia" w:ascii="仿宋_GB2312" w:hAnsi="仿宋_GB2312" w:eastAsia="仿宋_GB2312" w:cs="仿宋_GB2312"/>
          <w:color w:val="auto"/>
          <w:sz w:val="32"/>
          <w:szCs w:val="32"/>
          <w:lang w:eastAsia="zh-CN"/>
        </w:rPr>
        <w:t>实际操作情况按竞赛评分标准，2名裁判集体评判和计分。</w:t>
      </w:r>
      <w:bookmarkEnd w:id="7"/>
    </w:p>
    <w:p w14:paraId="591B2CF7">
      <w:pPr>
        <w:pStyle w:val="2"/>
        <w:widowControl w:val="0"/>
        <w:kinsoku/>
        <w:autoSpaceDE/>
        <w:autoSpaceDN/>
        <w:spacing w:line="560" w:lineRule="exact"/>
        <w:ind w:firstLine="640" w:firstLineChars="200"/>
        <w:textAlignment w:val="auto"/>
        <w:rPr>
          <w:rFonts w:hint="eastAsia" w:cs="仿宋_GB2312" w:asciiTheme="minorEastAsia" w:hAnsiTheme="minorEastAsia" w:eastAsiaTheme="minorEastAsia"/>
          <w:color w:val="auto"/>
          <w:sz w:val="28"/>
          <w:szCs w:val="28"/>
          <w:lang w:eastAsia="zh-CN"/>
        </w:rPr>
      </w:pPr>
      <w:bookmarkStart w:id="8" w:name="_Hlk517772541"/>
      <w:r>
        <w:rPr>
          <w:rFonts w:hint="eastAsia" w:ascii="仿宋_GB2312" w:hAnsi="仿宋_GB2312" w:eastAsia="仿宋_GB2312" w:cs="仿宋_GB2312"/>
          <w:sz w:val="32"/>
          <w:szCs w:val="32"/>
          <w:lang w:eastAsia="zh-CN"/>
        </w:rPr>
        <w:t>（四）选手最终名次依据初赛和决赛两部分成绩按比例累加的综合成绩进行排名，成绩均四舍五入保留两位小数点。其中初赛成绩占30%、决赛成绩占70%，参赛选手赛后综合成绩=初赛成绩×30%+决赛成绩×70%。当</w:t>
      </w:r>
      <w:r>
        <w:rPr>
          <w:rFonts w:hint="eastAsia" w:ascii="仿宋_GB2312" w:hAnsi="仿宋_GB2312" w:eastAsia="仿宋_GB2312" w:cs="仿宋_GB2312"/>
          <w:color w:val="auto"/>
          <w:sz w:val="32"/>
          <w:szCs w:val="32"/>
          <w:lang w:eastAsia="zh-CN"/>
        </w:rPr>
        <w:t>综合成绩相同时，以决赛成绩高者名次在前，若仍相同时，决赛用时短者名次在前。</w:t>
      </w:r>
      <w:bookmarkEnd w:id="8"/>
    </w:p>
    <w:p w14:paraId="0298E6B0">
      <w:pPr>
        <w:pStyle w:val="2"/>
        <w:widowControl w:val="0"/>
        <w:kinsoku/>
        <w:autoSpaceDE/>
        <w:autoSpaceDN/>
        <w:spacing w:line="560" w:lineRule="exact"/>
        <w:ind w:firstLine="640" w:firstLineChars="200"/>
        <w:textAlignment w:val="auto"/>
        <w:rPr>
          <w:rFonts w:hint="eastAsia" w:ascii="黑体" w:hAnsi="黑体" w:eastAsia="黑体"/>
          <w:color w:val="auto"/>
          <w:sz w:val="32"/>
          <w:szCs w:val="32"/>
          <w:lang w:eastAsia="zh-CN"/>
        </w:rPr>
      </w:pPr>
      <w:r>
        <w:rPr>
          <w:rFonts w:hint="eastAsia" w:ascii="黑体" w:hAnsi="黑体" w:eastAsia="黑体"/>
          <w:color w:val="auto"/>
          <w:sz w:val="32"/>
          <w:szCs w:val="32"/>
          <w:lang w:eastAsia="zh-CN"/>
        </w:rPr>
        <w:t>五、竞赛设备</w:t>
      </w:r>
    </w:p>
    <w:p w14:paraId="3ED69114">
      <w:pPr>
        <w:pStyle w:val="2"/>
        <w:widowControl w:val="0"/>
        <w:kinsoku/>
        <w:autoSpaceDE/>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（一）初赛</w:t>
      </w:r>
    </w:p>
    <w:p w14:paraId="48888D60">
      <w:pPr>
        <w:pStyle w:val="2"/>
        <w:widowControl w:val="0"/>
        <w:kinsoku/>
        <w:autoSpaceDE/>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初赛为理论知识纸笔作答类型的赛场参照职业技能鉴定要求布置赛场，配备与参赛人数相适应的桌子，确保单人单桌并留有一定数量的备用桌。</w:t>
      </w:r>
    </w:p>
    <w:p w14:paraId="39A475F1">
      <w:pPr>
        <w:pStyle w:val="2"/>
        <w:widowControl w:val="0"/>
        <w:kinsoku/>
        <w:autoSpaceDE/>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（二）决赛</w:t>
      </w:r>
    </w:p>
    <w:p w14:paraId="754D5EC3">
      <w:pPr>
        <w:pStyle w:val="2"/>
        <w:widowControl w:val="0"/>
        <w:kinsoku/>
        <w:autoSpaceDE/>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根据竞赛实际需求，赛场提供下列设备、工具，清单如下：</w:t>
      </w:r>
    </w:p>
    <w:p w14:paraId="3439523B">
      <w:pPr>
        <w:pStyle w:val="2"/>
        <w:widowControl w:val="0"/>
        <w:kinsoku/>
        <w:autoSpaceDE/>
        <w:autoSpaceDN/>
        <w:spacing w:line="560" w:lineRule="exact"/>
        <w:ind w:firstLine="640" w:firstLineChars="20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岸吊项目</w:t>
      </w:r>
    </w:p>
    <w:tbl>
      <w:tblPr>
        <w:tblStyle w:val="10"/>
        <w:tblW w:w="8078" w:type="dxa"/>
        <w:jc w:val="center"/>
        <w:tblLayout w:type="fixed"/>
        <w:tblCellMar>
          <w:top w:w="0" w:type="dxa"/>
          <w:left w:w="108" w:type="dxa"/>
          <w:bottom w:w="0" w:type="dxa"/>
          <w:right w:w="108" w:type="dxa"/>
        </w:tblCellMar>
      </w:tblPr>
      <w:tblGrid>
        <w:gridCol w:w="871"/>
        <w:gridCol w:w="2062"/>
        <w:gridCol w:w="2337"/>
        <w:gridCol w:w="1530"/>
        <w:gridCol w:w="1278"/>
      </w:tblGrid>
      <w:tr w14:paraId="5080E5E8">
        <w:tblPrEx>
          <w:tblCellMar>
            <w:top w:w="0" w:type="dxa"/>
            <w:left w:w="108" w:type="dxa"/>
            <w:bottom w:w="0" w:type="dxa"/>
            <w:right w:w="108" w:type="dxa"/>
          </w:tblCellMar>
        </w:tblPrEx>
        <w:trPr>
          <w:trHeight w:val="485" w:hRule="atLeast"/>
          <w:tblHeader/>
          <w:jc w:val="center"/>
        </w:trPr>
        <w:tc>
          <w:tcPr>
            <w:tcW w:w="871" w:type="dxa"/>
            <w:tcBorders>
              <w:top w:val="single" w:color="auto" w:sz="4" w:space="0"/>
              <w:left w:val="single" w:color="auto" w:sz="4" w:space="0"/>
              <w:bottom w:val="single" w:color="auto" w:sz="4" w:space="0"/>
              <w:right w:val="single" w:color="auto" w:sz="4" w:space="0"/>
            </w:tcBorders>
            <w:vAlign w:val="center"/>
          </w:tcPr>
          <w:p w14:paraId="161470C9">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2062" w:type="dxa"/>
            <w:tcBorders>
              <w:top w:val="single" w:color="auto" w:sz="4" w:space="0"/>
              <w:left w:val="nil"/>
              <w:bottom w:val="single" w:color="auto" w:sz="4" w:space="0"/>
              <w:right w:val="single" w:color="auto" w:sz="4" w:space="0"/>
            </w:tcBorders>
            <w:vAlign w:val="center"/>
          </w:tcPr>
          <w:p w14:paraId="29379035">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2337" w:type="dxa"/>
            <w:tcBorders>
              <w:top w:val="single" w:color="auto" w:sz="4" w:space="0"/>
              <w:left w:val="nil"/>
              <w:bottom w:val="single" w:color="auto" w:sz="4" w:space="0"/>
              <w:right w:val="single" w:color="auto" w:sz="4" w:space="0"/>
            </w:tcBorders>
            <w:vAlign w:val="center"/>
          </w:tcPr>
          <w:p w14:paraId="53A41C24">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型号/规格</w:t>
            </w:r>
          </w:p>
        </w:tc>
        <w:tc>
          <w:tcPr>
            <w:tcW w:w="1530" w:type="dxa"/>
            <w:tcBorders>
              <w:top w:val="single" w:color="auto" w:sz="4" w:space="0"/>
              <w:left w:val="nil"/>
              <w:bottom w:val="single" w:color="auto" w:sz="4" w:space="0"/>
              <w:right w:val="single" w:color="auto" w:sz="4" w:space="0"/>
            </w:tcBorders>
            <w:vAlign w:val="center"/>
          </w:tcPr>
          <w:p w14:paraId="59D87794">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278" w:type="dxa"/>
            <w:tcBorders>
              <w:top w:val="single" w:color="auto" w:sz="4" w:space="0"/>
              <w:left w:val="nil"/>
              <w:bottom w:val="single" w:color="auto" w:sz="4" w:space="0"/>
              <w:right w:val="single" w:color="auto" w:sz="4" w:space="0"/>
            </w:tcBorders>
            <w:vAlign w:val="center"/>
          </w:tcPr>
          <w:p w14:paraId="6070552F">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备注</w:t>
            </w:r>
          </w:p>
        </w:tc>
      </w:tr>
      <w:tr w14:paraId="3F62FE0D">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7C00DC74">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c>
          <w:tcPr>
            <w:tcW w:w="2062" w:type="dxa"/>
            <w:tcBorders>
              <w:top w:val="nil"/>
              <w:left w:val="nil"/>
              <w:bottom w:val="single" w:color="auto" w:sz="4" w:space="0"/>
              <w:right w:val="single" w:color="auto" w:sz="4" w:space="0"/>
            </w:tcBorders>
            <w:vAlign w:val="center"/>
          </w:tcPr>
          <w:p w14:paraId="481652E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snapToGrid/>
                <w:color w:val="auto"/>
                <w:sz w:val="28"/>
                <w:szCs w:val="28"/>
                <w:lang w:eastAsia="zh-CN"/>
              </w:rPr>
              <w:t>岸吊</w:t>
            </w:r>
          </w:p>
        </w:tc>
        <w:tc>
          <w:tcPr>
            <w:tcW w:w="2337" w:type="dxa"/>
            <w:tcBorders>
              <w:top w:val="nil"/>
              <w:left w:val="nil"/>
              <w:bottom w:val="single" w:color="auto" w:sz="4" w:space="0"/>
              <w:right w:val="single" w:color="auto" w:sz="4" w:space="0"/>
            </w:tcBorders>
            <w:vAlign w:val="center"/>
          </w:tcPr>
          <w:p w14:paraId="1B77AFC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ZPMC</w:t>
            </w:r>
          </w:p>
        </w:tc>
        <w:tc>
          <w:tcPr>
            <w:tcW w:w="1530" w:type="dxa"/>
            <w:tcBorders>
              <w:top w:val="nil"/>
              <w:left w:val="nil"/>
              <w:bottom w:val="single" w:color="auto" w:sz="4" w:space="0"/>
              <w:right w:val="single" w:color="auto" w:sz="4" w:space="0"/>
            </w:tcBorders>
            <w:vAlign w:val="center"/>
          </w:tcPr>
          <w:p w14:paraId="599E434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27889FB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4BE99432">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53B90DC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w:t>
            </w:r>
          </w:p>
        </w:tc>
        <w:tc>
          <w:tcPr>
            <w:tcW w:w="2062" w:type="dxa"/>
            <w:tcBorders>
              <w:top w:val="nil"/>
              <w:left w:val="nil"/>
              <w:bottom w:val="single" w:color="auto" w:sz="4" w:space="0"/>
              <w:right w:val="single" w:color="auto" w:sz="4" w:space="0"/>
            </w:tcBorders>
            <w:vAlign w:val="center"/>
          </w:tcPr>
          <w:p w14:paraId="7D51F842">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PLC电脑编程器</w:t>
            </w:r>
          </w:p>
        </w:tc>
        <w:tc>
          <w:tcPr>
            <w:tcW w:w="2337" w:type="dxa"/>
            <w:tcBorders>
              <w:top w:val="nil"/>
              <w:left w:val="nil"/>
              <w:bottom w:val="single" w:color="auto" w:sz="4" w:space="0"/>
              <w:right w:val="single" w:color="auto" w:sz="4" w:space="0"/>
            </w:tcBorders>
            <w:vAlign w:val="center"/>
          </w:tcPr>
          <w:p w14:paraId="4CADF6EF">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48E70B83">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62B16E83">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6D8AC3A7">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5AE71EA0">
            <w:pPr>
              <w:jc w:val="center"/>
              <w:rPr>
                <w:rFonts w:hint="eastAsia" w:ascii="仿宋_GB2312" w:hAnsi="仿宋_GB2312" w:eastAsia="仿宋_GB2312" w:cs="仿宋_GB2312"/>
                <w:color w:val="auto"/>
                <w:kern w:val="2"/>
                <w:sz w:val="28"/>
                <w:szCs w:val="28"/>
                <w:lang w:eastAsia="zh-CN"/>
              </w:rPr>
            </w:pPr>
            <w:bookmarkStart w:id="9" w:name="_Hlk195533327"/>
            <w:r>
              <w:rPr>
                <w:rFonts w:hint="eastAsia" w:ascii="仿宋_GB2312" w:hAnsi="仿宋_GB2312" w:eastAsia="仿宋_GB2312" w:cs="仿宋_GB2312"/>
                <w:color w:val="auto"/>
                <w:sz w:val="28"/>
                <w:szCs w:val="28"/>
                <w:lang w:eastAsia="zh-CN"/>
              </w:rPr>
              <w:t>3</w:t>
            </w:r>
          </w:p>
        </w:tc>
        <w:tc>
          <w:tcPr>
            <w:tcW w:w="2062" w:type="dxa"/>
            <w:tcBorders>
              <w:top w:val="nil"/>
              <w:left w:val="nil"/>
              <w:bottom w:val="single" w:color="auto" w:sz="4" w:space="0"/>
              <w:right w:val="single" w:color="auto" w:sz="4" w:space="0"/>
            </w:tcBorders>
            <w:vAlign w:val="center"/>
          </w:tcPr>
          <w:p w14:paraId="6F8EBF82">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万用表</w:t>
            </w:r>
          </w:p>
        </w:tc>
        <w:tc>
          <w:tcPr>
            <w:tcW w:w="2337" w:type="dxa"/>
            <w:tcBorders>
              <w:top w:val="nil"/>
              <w:left w:val="nil"/>
              <w:bottom w:val="single" w:color="auto" w:sz="4" w:space="0"/>
              <w:right w:val="single" w:color="auto" w:sz="4" w:space="0"/>
            </w:tcBorders>
            <w:vAlign w:val="center"/>
          </w:tcPr>
          <w:p w14:paraId="5255C0D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3ED386B8">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3E4046E">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w:t>
            </w:r>
          </w:p>
        </w:tc>
      </w:tr>
      <w:tr w14:paraId="6C7F10CD">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7F80D9BF">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w:t>
            </w:r>
          </w:p>
        </w:tc>
        <w:tc>
          <w:tcPr>
            <w:tcW w:w="2062" w:type="dxa"/>
            <w:tcBorders>
              <w:top w:val="nil"/>
              <w:left w:val="nil"/>
              <w:bottom w:val="single" w:color="auto" w:sz="4" w:space="0"/>
              <w:right w:val="single" w:color="auto" w:sz="4" w:space="0"/>
            </w:tcBorders>
            <w:vAlign w:val="center"/>
          </w:tcPr>
          <w:p w14:paraId="0D2E6CCD">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螺丝刀</w:t>
            </w:r>
          </w:p>
        </w:tc>
        <w:tc>
          <w:tcPr>
            <w:tcW w:w="2337" w:type="dxa"/>
            <w:tcBorders>
              <w:top w:val="nil"/>
              <w:left w:val="nil"/>
              <w:bottom w:val="single" w:color="auto" w:sz="4" w:space="0"/>
              <w:right w:val="single" w:color="auto" w:sz="4" w:space="0"/>
            </w:tcBorders>
            <w:vAlign w:val="center"/>
          </w:tcPr>
          <w:p w14:paraId="4910A40D">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1E726DAD">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26E64F5B">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45A4ECFA">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61B471E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2062" w:type="dxa"/>
            <w:tcBorders>
              <w:top w:val="nil"/>
              <w:left w:val="nil"/>
              <w:bottom w:val="single" w:color="auto" w:sz="4" w:space="0"/>
              <w:right w:val="single" w:color="auto" w:sz="4" w:space="0"/>
            </w:tcBorders>
            <w:vAlign w:val="center"/>
          </w:tcPr>
          <w:p w14:paraId="62824DE8">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电笔</w:t>
            </w:r>
          </w:p>
        </w:tc>
        <w:tc>
          <w:tcPr>
            <w:tcW w:w="2337" w:type="dxa"/>
            <w:tcBorders>
              <w:top w:val="nil"/>
              <w:left w:val="nil"/>
              <w:bottom w:val="single" w:color="auto" w:sz="4" w:space="0"/>
              <w:right w:val="single" w:color="auto" w:sz="4" w:space="0"/>
            </w:tcBorders>
            <w:vAlign w:val="center"/>
          </w:tcPr>
          <w:p w14:paraId="3BF3B6D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0FB93B3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0220EF7">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128D6410">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6324051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w:t>
            </w:r>
          </w:p>
        </w:tc>
        <w:tc>
          <w:tcPr>
            <w:tcW w:w="2062" w:type="dxa"/>
            <w:tcBorders>
              <w:top w:val="nil"/>
              <w:left w:val="nil"/>
              <w:bottom w:val="single" w:color="auto" w:sz="4" w:space="0"/>
              <w:right w:val="single" w:color="auto" w:sz="4" w:space="0"/>
            </w:tcBorders>
            <w:vAlign w:val="center"/>
          </w:tcPr>
          <w:p w14:paraId="77E42E2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尖嘴钳</w:t>
            </w:r>
          </w:p>
        </w:tc>
        <w:tc>
          <w:tcPr>
            <w:tcW w:w="2337" w:type="dxa"/>
            <w:tcBorders>
              <w:top w:val="nil"/>
              <w:left w:val="nil"/>
              <w:bottom w:val="single" w:color="auto" w:sz="4" w:space="0"/>
              <w:right w:val="single" w:color="auto" w:sz="4" w:space="0"/>
            </w:tcBorders>
            <w:vAlign w:val="center"/>
          </w:tcPr>
          <w:p w14:paraId="07CA7B9D">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7DF4DE6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3605AB67">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361AADEA">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554484E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7</w:t>
            </w:r>
          </w:p>
        </w:tc>
        <w:tc>
          <w:tcPr>
            <w:tcW w:w="2062" w:type="dxa"/>
            <w:tcBorders>
              <w:top w:val="nil"/>
              <w:left w:val="nil"/>
              <w:bottom w:val="single" w:color="auto" w:sz="4" w:space="0"/>
              <w:right w:val="single" w:color="auto" w:sz="4" w:space="0"/>
            </w:tcBorders>
          </w:tcPr>
          <w:p w14:paraId="40AAF8D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活动扳手</w:t>
            </w:r>
          </w:p>
        </w:tc>
        <w:tc>
          <w:tcPr>
            <w:tcW w:w="2337" w:type="dxa"/>
            <w:tcBorders>
              <w:top w:val="nil"/>
              <w:left w:val="nil"/>
              <w:bottom w:val="single" w:color="auto" w:sz="4" w:space="0"/>
              <w:right w:val="single" w:color="auto" w:sz="4" w:space="0"/>
            </w:tcBorders>
          </w:tcPr>
          <w:p w14:paraId="7A184988">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w:t>
            </w:r>
          </w:p>
        </w:tc>
        <w:tc>
          <w:tcPr>
            <w:tcW w:w="1530" w:type="dxa"/>
            <w:tcBorders>
              <w:top w:val="nil"/>
              <w:left w:val="nil"/>
              <w:bottom w:val="single" w:color="auto" w:sz="4" w:space="0"/>
              <w:right w:val="single" w:color="auto" w:sz="4" w:space="0"/>
            </w:tcBorders>
          </w:tcPr>
          <w:p w14:paraId="10C9DDE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5</w:t>
            </w:r>
          </w:p>
        </w:tc>
        <w:tc>
          <w:tcPr>
            <w:tcW w:w="1278" w:type="dxa"/>
            <w:tcBorders>
              <w:top w:val="nil"/>
              <w:left w:val="nil"/>
              <w:bottom w:val="single" w:color="auto" w:sz="4" w:space="0"/>
              <w:right w:val="single" w:color="auto" w:sz="4" w:space="0"/>
            </w:tcBorders>
          </w:tcPr>
          <w:p w14:paraId="2B534F6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w:t>
            </w:r>
          </w:p>
        </w:tc>
      </w:tr>
      <w:tr w14:paraId="28CBF8FC">
        <w:tblPrEx>
          <w:tblCellMar>
            <w:top w:w="0" w:type="dxa"/>
            <w:left w:w="108" w:type="dxa"/>
            <w:bottom w:w="0" w:type="dxa"/>
            <w:right w:w="108" w:type="dxa"/>
          </w:tblCellMar>
        </w:tblPrEx>
        <w:trPr>
          <w:trHeight w:val="485" w:hRule="atLeast"/>
          <w:jc w:val="center"/>
        </w:trPr>
        <w:tc>
          <w:tcPr>
            <w:tcW w:w="871" w:type="dxa"/>
            <w:tcBorders>
              <w:top w:val="nil"/>
              <w:left w:val="single" w:color="auto" w:sz="4" w:space="0"/>
              <w:bottom w:val="single" w:color="auto" w:sz="4" w:space="0"/>
              <w:right w:val="single" w:color="auto" w:sz="4" w:space="0"/>
            </w:tcBorders>
            <w:vAlign w:val="center"/>
          </w:tcPr>
          <w:p w14:paraId="388EAF0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w:t>
            </w:r>
          </w:p>
        </w:tc>
        <w:tc>
          <w:tcPr>
            <w:tcW w:w="2062" w:type="dxa"/>
            <w:tcBorders>
              <w:top w:val="nil"/>
              <w:left w:val="nil"/>
              <w:bottom w:val="single" w:color="auto" w:sz="4" w:space="0"/>
              <w:right w:val="single" w:color="auto" w:sz="4" w:space="0"/>
            </w:tcBorders>
            <w:vAlign w:val="center"/>
          </w:tcPr>
          <w:p w14:paraId="54DD117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斜口钳</w:t>
            </w:r>
          </w:p>
        </w:tc>
        <w:tc>
          <w:tcPr>
            <w:tcW w:w="2337" w:type="dxa"/>
            <w:tcBorders>
              <w:top w:val="nil"/>
              <w:left w:val="nil"/>
              <w:bottom w:val="single" w:color="auto" w:sz="4" w:space="0"/>
              <w:right w:val="single" w:color="auto" w:sz="4" w:space="0"/>
            </w:tcBorders>
            <w:vAlign w:val="center"/>
          </w:tcPr>
          <w:p w14:paraId="3FF389A6">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7CF47E7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4AA4A147">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bookmarkEnd w:id="9"/>
      <w:tr w14:paraId="60EECC4D">
        <w:tblPrEx>
          <w:tblCellMar>
            <w:top w:w="0" w:type="dxa"/>
            <w:left w:w="108" w:type="dxa"/>
            <w:bottom w:w="0" w:type="dxa"/>
            <w:right w:w="108" w:type="dxa"/>
          </w:tblCellMar>
        </w:tblPrEx>
        <w:trPr>
          <w:trHeight w:val="485" w:hRule="atLeast"/>
          <w:jc w:val="center"/>
        </w:trPr>
        <w:tc>
          <w:tcPr>
            <w:tcW w:w="871" w:type="dxa"/>
            <w:tcBorders>
              <w:top w:val="single" w:color="auto" w:sz="4" w:space="0"/>
              <w:left w:val="single" w:color="auto" w:sz="4" w:space="0"/>
              <w:bottom w:val="single" w:color="auto" w:sz="4" w:space="0"/>
              <w:right w:val="single" w:color="auto" w:sz="4" w:space="0"/>
            </w:tcBorders>
            <w:vAlign w:val="center"/>
          </w:tcPr>
          <w:p w14:paraId="341BAD5F">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说明</w:t>
            </w:r>
          </w:p>
        </w:tc>
        <w:tc>
          <w:tcPr>
            <w:tcW w:w="7207" w:type="dxa"/>
            <w:gridSpan w:val="4"/>
            <w:tcBorders>
              <w:top w:val="single" w:color="auto" w:sz="4" w:space="0"/>
              <w:left w:val="nil"/>
              <w:bottom w:val="single" w:color="auto" w:sz="4" w:space="0"/>
              <w:right w:val="single" w:color="auto" w:sz="4" w:space="0"/>
            </w:tcBorders>
            <w:vAlign w:val="center"/>
          </w:tcPr>
          <w:p w14:paraId="24D6D67A">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以上设备、材料如有变动，以执委会通知为准。</w:t>
            </w:r>
          </w:p>
        </w:tc>
      </w:tr>
    </w:tbl>
    <w:p w14:paraId="442098D6">
      <w:pPr>
        <w:pStyle w:val="3"/>
        <w:ind w:left="706" w:leftChars="336" w:firstLine="2"/>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龙门吊项目</w:t>
      </w:r>
    </w:p>
    <w:tbl>
      <w:tblPr>
        <w:tblStyle w:val="10"/>
        <w:tblW w:w="8078" w:type="dxa"/>
        <w:jc w:val="center"/>
        <w:tblLayout w:type="fixed"/>
        <w:tblCellMar>
          <w:top w:w="0" w:type="dxa"/>
          <w:left w:w="108" w:type="dxa"/>
          <w:bottom w:w="0" w:type="dxa"/>
          <w:right w:w="108" w:type="dxa"/>
        </w:tblCellMar>
      </w:tblPr>
      <w:tblGrid>
        <w:gridCol w:w="834"/>
        <w:gridCol w:w="2100"/>
        <w:gridCol w:w="2336"/>
        <w:gridCol w:w="1530"/>
        <w:gridCol w:w="1278"/>
      </w:tblGrid>
      <w:tr w14:paraId="76FE1704">
        <w:tblPrEx>
          <w:tblCellMar>
            <w:top w:w="0" w:type="dxa"/>
            <w:left w:w="108" w:type="dxa"/>
            <w:bottom w:w="0" w:type="dxa"/>
            <w:right w:w="108" w:type="dxa"/>
          </w:tblCellMar>
        </w:tblPrEx>
        <w:trPr>
          <w:trHeight w:val="485" w:hRule="atLeast"/>
          <w:tblHeader/>
          <w:jc w:val="center"/>
        </w:trPr>
        <w:tc>
          <w:tcPr>
            <w:tcW w:w="834" w:type="dxa"/>
            <w:tcBorders>
              <w:top w:val="single" w:color="auto" w:sz="4" w:space="0"/>
              <w:left w:val="single" w:color="auto" w:sz="4" w:space="0"/>
              <w:bottom w:val="single" w:color="auto" w:sz="4" w:space="0"/>
              <w:right w:val="single" w:color="auto" w:sz="4" w:space="0"/>
            </w:tcBorders>
            <w:vAlign w:val="center"/>
          </w:tcPr>
          <w:p w14:paraId="3194350A">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2100" w:type="dxa"/>
            <w:tcBorders>
              <w:top w:val="single" w:color="auto" w:sz="4" w:space="0"/>
              <w:left w:val="nil"/>
              <w:bottom w:val="single" w:color="auto" w:sz="4" w:space="0"/>
              <w:right w:val="single" w:color="auto" w:sz="4" w:space="0"/>
            </w:tcBorders>
            <w:vAlign w:val="center"/>
          </w:tcPr>
          <w:p w14:paraId="1DC39EAC">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2336" w:type="dxa"/>
            <w:tcBorders>
              <w:top w:val="single" w:color="auto" w:sz="4" w:space="0"/>
              <w:left w:val="nil"/>
              <w:bottom w:val="single" w:color="auto" w:sz="4" w:space="0"/>
              <w:right w:val="single" w:color="auto" w:sz="4" w:space="0"/>
            </w:tcBorders>
            <w:vAlign w:val="center"/>
          </w:tcPr>
          <w:p w14:paraId="74AADE62">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型号/规格</w:t>
            </w:r>
          </w:p>
        </w:tc>
        <w:tc>
          <w:tcPr>
            <w:tcW w:w="1530" w:type="dxa"/>
            <w:tcBorders>
              <w:top w:val="single" w:color="auto" w:sz="4" w:space="0"/>
              <w:left w:val="nil"/>
              <w:bottom w:val="single" w:color="auto" w:sz="4" w:space="0"/>
              <w:right w:val="single" w:color="auto" w:sz="4" w:space="0"/>
            </w:tcBorders>
            <w:vAlign w:val="center"/>
          </w:tcPr>
          <w:p w14:paraId="5A2254C1">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278" w:type="dxa"/>
            <w:tcBorders>
              <w:top w:val="single" w:color="auto" w:sz="4" w:space="0"/>
              <w:left w:val="nil"/>
              <w:bottom w:val="single" w:color="auto" w:sz="4" w:space="0"/>
              <w:right w:val="single" w:color="auto" w:sz="4" w:space="0"/>
            </w:tcBorders>
            <w:vAlign w:val="center"/>
          </w:tcPr>
          <w:p w14:paraId="721A5364">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备注</w:t>
            </w:r>
          </w:p>
        </w:tc>
      </w:tr>
      <w:tr w14:paraId="59427E1A">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0CC5DFAE">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c>
          <w:tcPr>
            <w:tcW w:w="2100" w:type="dxa"/>
            <w:tcBorders>
              <w:top w:val="nil"/>
              <w:left w:val="nil"/>
              <w:bottom w:val="single" w:color="auto" w:sz="4" w:space="0"/>
              <w:right w:val="single" w:color="auto" w:sz="4" w:space="0"/>
            </w:tcBorders>
            <w:vAlign w:val="center"/>
          </w:tcPr>
          <w:p w14:paraId="1E22C6F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snapToGrid/>
                <w:color w:val="auto"/>
                <w:sz w:val="28"/>
                <w:szCs w:val="28"/>
                <w:lang w:eastAsia="zh-CN"/>
              </w:rPr>
              <w:t>龙门吊</w:t>
            </w:r>
          </w:p>
        </w:tc>
        <w:tc>
          <w:tcPr>
            <w:tcW w:w="2336" w:type="dxa"/>
            <w:tcBorders>
              <w:top w:val="nil"/>
              <w:left w:val="nil"/>
              <w:bottom w:val="single" w:color="auto" w:sz="4" w:space="0"/>
              <w:right w:val="single" w:color="auto" w:sz="4" w:space="0"/>
            </w:tcBorders>
            <w:vAlign w:val="center"/>
          </w:tcPr>
          <w:p w14:paraId="3738BB4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ZPMC</w:t>
            </w:r>
          </w:p>
        </w:tc>
        <w:tc>
          <w:tcPr>
            <w:tcW w:w="1530" w:type="dxa"/>
            <w:tcBorders>
              <w:top w:val="nil"/>
              <w:left w:val="nil"/>
              <w:bottom w:val="single" w:color="auto" w:sz="4" w:space="0"/>
              <w:right w:val="single" w:color="auto" w:sz="4" w:space="0"/>
            </w:tcBorders>
            <w:vAlign w:val="center"/>
          </w:tcPr>
          <w:p w14:paraId="1674F40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1FC164B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4BA18FCD">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66EC844F">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w:t>
            </w:r>
          </w:p>
        </w:tc>
        <w:tc>
          <w:tcPr>
            <w:tcW w:w="2100" w:type="dxa"/>
            <w:tcBorders>
              <w:top w:val="nil"/>
              <w:left w:val="nil"/>
              <w:bottom w:val="single" w:color="auto" w:sz="4" w:space="0"/>
              <w:right w:val="single" w:color="auto" w:sz="4" w:space="0"/>
            </w:tcBorders>
            <w:vAlign w:val="center"/>
          </w:tcPr>
          <w:p w14:paraId="1A9CB4E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PLC电脑编程器</w:t>
            </w:r>
          </w:p>
        </w:tc>
        <w:tc>
          <w:tcPr>
            <w:tcW w:w="2336" w:type="dxa"/>
            <w:tcBorders>
              <w:top w:val="nil"/>
              <w:left w:val="nil"/>
              <w:bottom w:val="single" w:color="auto" w:sz="4" w:space="0"/>
              <w:right w:val="single" w:color="auto" w:sz="4" w:space="0"/>
            </w:tcBorders>
            <w:vAlign w:val="center"/>
          </w:tcPr>
          <w:p w14:paraId="08D3B79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3D37CB6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20828E8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30BB90C7">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10169A5F">
            <w:pPr>
              <w:jc w:val="center"/>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kern w:val="2"/>
                <w:sz w:val="28"/>
                <w:szCs w:val="28"/>
                <w:lang w:eastAsia="zh-CN"/>
              </w:rPr>
              <w:t>3</w:t>
            </w:r>
          </w:p>
        </w:tc>
        <w:tc>
          <w:tcPr>
            <w:tcW w:w="2100" w:type="dxa"/>
            <w:tcBorders>
              <w:top w:val="nil"/>
              <w:left w:val="nil"/>
              <w:bottom w:val="single" w:color="auto" w:sz="4" w:space="0"/>
              <w:right w:val="single" w:color="auto" w:sz="4" w:space="0"/>
            </w:tcBorders>
            <w:vAlign w:val="center"/>
          </w:tcPr>
          <w:p w14:paraId="4E2CDB6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万用表</w:t>
            </w:r>
          </w:p>
        </w:tc>
        <w:tc>
          <w:tcPr>
            <w:tcW w:w="2336" w:type="dxa"/>
            <w:tcBorders>
              <w:top w:val="nil"/>
              <w:left w:val="nil"/>
              <w:bottom w:val="single" w:color="auto" w:sz="4" w:space="0"/>
              <w:right w:val="single" w:color="auto" w:sz="4" w:space="0"/>
            </w:tcBorders>
            <w:vAlign w:val="center"/>
          </w:tcPr>
          <w:p w14:paraId="29E983F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7E785F23">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6AE6BBB2">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w:t>
            </w:r>
          </w:p>
        </w:tc>
      </w:tr>
      <w:tr w14:paraId="4DCD36DD">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26ADF88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w:t>
            </w:r>
          </w:p>
        </w:tc>
        <w:tc>
          <w:tcPr>
            <w:tcW w:w="2100" w:type="dxa"/>
            <w:tcBorders>
              <w:top w:val="nil"/>
              <w:left w:val="nil"/>
              <w:bottom w:val="single" w:color="auto" w:sz="4" w:space="0"/>
              <w:right w:val="single" w:color="auto" w:sz="4" w:space="0"/>
            </w:tcBorders>
            <w:vAlign w:val="center"/>
          </w:tcPr>
          <w:p w14:paraId="7B247C3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螺丝刀</w:t>
            </w:r>
          </w:p>
        </w:tc>
        <w:tc>
          <w:tcPr>
            <w:tcW w:w="2336" w:type="dxa"/>
            <w:tcBorders>
              <w:top w:val="nil"/>
              <w:left w:val="nil"/>
              <w:bottom w:val="single" w:color="auto" w:sz="4" w:space="0"/>
              <w:right w:val="single" w:color="auto" w:sz="4" w:space="0"/>
            </w:tcBorders>
            <w:vAlign w:val="center"/>
          </w:tcPr>
          <w:p w14:paraId="41BEC2D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4E44AE9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3BEB529D">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2B0A50D6">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54BE905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2100" w:type="dxa"/>
            <w:tcBorders>
              <w:top w:val="nil"/>
              <w:left w:val="nil"/>
              <w:bottom w:val="single" w:color="auto" w:sz="4" w:space="0"/>
              <w:right w:val="single" w:color="auto" w:sz="4" w:space="0"/>
            </w:tcBorders>
            <w:vAlign w:val="center"/>
          </w:tcPr>
          <w:p w14:paraId="2DB4C542">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电笔</w:t>
            </w:r>
          </w:p>
        </w:tc>
        <w:tc>
          <w:tcPr>
            <w:tcW w:w="2336" w:type="dxa"/>
            <w:tcBorders>
              <w:top w:val="nil"/>
              <w:left w:val="nil"/>
              <w:bottom w:val="single" w:color="auto" w:sz="4" w:space="0"/>
              <w:right w:val="single" w:color="auto" w:sz="4" w:space="0"/>
            </w:tcBorders>
            <w:vAlign w:val="center"/>
          </w:tcPr>
          <w:p w14:paraId="0B00326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219B0A9D">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3F2F769">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2E64308C">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45CBE57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w:t>
            </w:r>
          </w:p>
        </w:tc>
        <w:tc>
          <w:tcPr>
            <w:tcW w:w="2100" w:type="dxa"/>
            <w:tcBorders>
              <w:top w:val="nil"/>
              <w:left w:val="nil"/>
              <w:bottom w:val="single" w:color="auto" w:sz="4" w:space="0"/>
              <w:right w:val="single" w:color="auto" w:sz="4" w:space="0"/>
            </w:tcBorders>
            <w:vAlign w:val="center"/>
          </w:tcPr>
          <w:p w14:paraId="3A2F5AF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尖嘴钳</w:t>
            </w:r>
          </w:p>
        </w:tc>
        <w:tc>
          <w:tcPr>
            <w:tcW w:w="2336" w:type="dxa"/>
            <w:tcBorders>
              <w:top w:val="nil"/>
              <w:left w:val="nil"/>
              <w:bottom w:val="single" w:color="auto" w:sz="4" w:space="0"/>
              <w:right w:val="single" w:color="auto" w:sz="4" w:space="0"/>
            </w:tcBorders>
            <w:vAlign w:val="center"/>
          </w:tcPr>
          <w:p w14:paraId="45C1101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1A9421B2">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3FDD787D">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42307A4B">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54A73C3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7</w:t>
            </w:r>
          </w:p>
        </w:tc>
        <w:tc>
          <w:tcPr>
            <w:tcW w:w="2100" w:type="dxa"/>
            <w:tcBorders>
              <w:top w:val="nil"/>
              <w:left w:val="nil"/>
              <w:bottom w:val="single" w:color="auto" w:sz="4" w:space="0"/>
              <w:right w:val="single" w:color="auto" w:sz="4" w:space="0"/>
            </w:tcBorders>
          </w:tcPr>
          <w:p w14:paraId="2EBE875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活动扳手</w:t>
            </w:r>
          </w:p>
        </w:tc>
        <w:tc>
          <w:tcPr>
            <w:tcW w:w="2336" w:type="dxa"/>
            <w:tcBorders>
              <w:top w:val="nil"/>
              <w:left w:val="nil"/>
              <w:bottom w:val="single" w:color="auto" w:sz="4" w:space="0"/>
              <w:right w:val="single" w:color="auto" w:sz="4" w:space="0"/>
            </w:tcBorders>
          </w:tcPr>
          <w:p w14:paraId="5E59E6C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w:t>
            </w:r>
          </w:p>
        </w:tc>
        <w:tc>
          <w:tcPr>
            <w:tcW w:w="1530" w:type="dxa"/>
            <w:tcBorders>
              <w:top w:val="nil"/>
              <w:left w:val="nil"/>
              <w:bottom w:val="single" w:color="auto" w:sz="4" w:space="0"/>
              <w:right w:val="single" w:color="auto" w:sz="4" w:space="0"/>
            </w:tcBorders>
          </w:tcPr>
          <w:p w14:paraId="39F7042F">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5</w:t>
            </w:r>
          </w:p>
        </w:tc>
        <w:tc>
          <w:tcPr>
            <w:tcW w:w="1278" w:type="dxa"/>
            <w:tcBorders>
              <w:top w:val="nil"/>
              <w:left w:val="nil"/>
              <w:bottom w:val="single" w:color="auto" w:sz="4" w:space="0"/>
              <w:right w:val="single" w:color="auto" w:sz="4" w:space="0"/>
            </w:tcBorders>
          </w:tcPr>
          <w:p w14:paraId="54685923">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w:t>
            </w:r>
          </w:p>
        </w:tc>
      </w:tr>
      <w:tr w14:paraId="4A1EB55F">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58D05C4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8</w:t>
            </w:r>
          </w:p>
        </w:tc>
        <w:tc>
          <w:tcPr>
            <w:tcW w:w="2100" w:type="dxa"/>
            <w:tcBorders>
              <w:top w:val="nil"/>
              <w:left w:val="nil"/>
              <w:bottom w:val="single" w:color="auto" w:sz="4" w:space="0"/>
              <w:right w:val="single" w:color="auto" w:sz="4" w:space="0"/>
            </w:tcBorders>
            <w:vAlign w:val="center"/>
          </w:tcPr>
          <w:p w14:paraId="4C70B8C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斜口钳</w:t>
            </w:r>
          </w:p>
        </w:tc>
        <w:tc>
          <w:tcPr>
            <w:tcW w:w="2336" w:type="dxa"/>
            <w:tcBorders>
              <w:top w:val="nil"/>
              <w:left w:val="nil"/>
              <w:bottom w:val="single" w:color="auto" w:sz="4" w:space="0"/>
              <w:right w:val="single" w:color="auto" w:sz="4" w:space="0"/>
            </w:tcBorders>
            <w:vAlign w:val="center"/>
          </w:tcPr>
          <w:p w14:paraId="1B6D91D9">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5580E65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4D12178F">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0E5FEBD6">
        <w:tblPrEx>
          <w:tblCellMar>
            <w:top w:w="0" w:type="dxa"/>
            <w:left w:w="108" w:type="dxa"/>
            <w:bottom w:w="0" w:type="dxa"/>
            <w:right w:w="108" w:type="dxa"/>
          </w:tblCellMar>
        </w:tblPrEx>
        <w:trPr>
          <w:trHeight w:val="485" w:hRule="atLeast"/>
          <w:jc w:val="center"/>
        </w:trPr>
        <w:tc>
          <w:tcPr>
            <w:tcW w:w="834" w:type="dxa"/>
            <w:tcBorders>
              <w:top w:val="single" w:color="auto" w:sz="4" w:space="0"/>
              <w:left w:val="single" w:color="auto" w:sz="4" w:space="0"/>
              <w:bottom w:val="single" w:color="auto" w:sz="4" w:space="0"/>
              <w:right w:val="single" w:color="auto" w:sz="4" w:space="0"/>
            </w:tcBorders>
            <w:vAlign w:val="center"/>
          </w:tcPr>
          <w:p w14:paraId="1720D0FC">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说明</w:t>
            </w:r>
          </w:p>
        </w:tc>
        <w:tc>
          <w:tcPr>
            <w:tcW w:w="7244" w:type="dxa"/>
            <w:gridSpan w:val="4"/>
            <w:tcBorders>
              <w:top w:val="single" w:color="auto" w:sz="4" w:space="0"/>
              <w:left w:val="nil"/>
              <w:bottom w:val="single" w:color="auto" w:sz="4" w:space="0"/>
              <w:right w:val="single" w:color="auto" w:sz="4" w:space="0"/>
            </w:tcBorders>
            <w:vAlign w:val="center"/>
          </w:tcPr>
          <w:p w14:paraId="60FE145C">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以上设备、材料如有变动，以执委会通知为准。</w:t>
            </w:r>
          </w:p>
        </w:tc>
      </w:tr>
    </w:tbl>
    <w:p w14:paraId="10E71F20">
      <w:pPr>
        <w:pStyle w:val="3"/>
        <w:ind w:left="706" w:leftChars="336" w:firstLine="2"/>
        <w:jc w:val="cente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空箱堆高机项目</w:t>
      </w:r>
    </w:p>
    <w:tbl>
      <w:tblPr>
        <w:tblStyle w:val="10"/>
        <w:tblW w:w="8078" w:type="dxa"/>
        <w:jc w:val="center"/>
        <w:tblLayout w:type="fixed"/>
        <w:tblCellMar>
          <w:top w:w="0" w:type="dxa"/>
          <w:left w:w="108" w:type="dxa"/>
          <w:bottom w:w="0" w:type="dxa"/>
          <w:right w:w="108" w:type="dxa"/>
        </w:tblCellMar>
      </w:tblPr>
      <w:tblGrid>
        <w:gridCol w:w="834"/>
        <w:gridCol w:w="1999"/>
        <w:gridCol w:w="2437"/>
        <w:gridCol w:w="1530"/>
        <w:gridCol w:w="1278"/>
      </w:tblGrid>
      <w:tr w14:paraId="5F680736">
        <w:tblPrEx>
          <w:tblCellMar>
            <w:top w:w="0" w:type="dxa"/>
            <w:left w:w="108" w:type="dxa"/>
            <w:bottom w:w="0" w:type="dxa"/>
            <w:right w:w="108" w:type="dxa"/>
          </w:tblCellMar>
        </w:tblPrEx>
        <w:trPr>
          <w:trHeight w:val="485" w:hRule="atLeast"/>
          <w:tblHeader/>
          <w:jc w:val="center"/>
        </w:trPr>
        <w:tc>
          <w:tcPr>
            <w:tcW w:w="834" w:type="dxa"/>
            <w:tcBorders>
              <w:top w:val="single" w:color="auto" w:sz="4" w:space="0"/>
              <w:left w:val="single" w:color="auto" w:sz="4" w:space="0"/>
              <w:bottom w:val="single" w:color="auto" w:sz="4" w:space="0"/>
              <w:right w:val="single" w:color="auto" w:sz="4" w:space="0"/>
            </w:tcBorders>
            <w:vAlign w:val="center"/>
          </w:tcPr>
          <w:p w14:paraId="0DA1D2D0">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序号</w:t>
            </w:r>
          </w:p>
        </w:tc>
        <w:tc>
          <w:tcPr>
            <w:tcW w:w="1999" w:type="dxa"/>
            <w:tcBorders>
              <w:top w:val="single" w:color="auto" w:sz="4" w:space="0"/>
              <w:left w:val="nil"/>
              <w:bottom w:val="single" w:color="auto" w:sz="4" w:space="0"/>
              <w:right w:val="single" w:color="auto" w:sz="4" w:space="0"/>
            </w:tcBorders>
            <w:vAlign w:val="center"/>
          </w:tcPr>
          <w:p w14:paraId="14213448">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名称</w:t>
            </w:r>
          </w:p>
        </w:tc>
        <w:tc>
          <w:tcPr>
            <w:tcW w:w="2437" w:type="dxa"/>
            <w:tcBorders>
              <w:top w:val="single" w:color="auto" w:sz="4" w:space="0"/>
              <w:left w:val="nil"/>
              <w:bottom w:val="single" w:color="auto" w:sz="4" w:space="0"/>
              <w:right w:val="single" w:color="auto" w:sz="4" w:space="0"/>
            </w:tcBorders>
            <w:vAlign w:val="center"/>
          </w:tcPr>
          <w:p w14:paraId="58DF62E8">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型号/规格</w:t>
            </w:r>
          </w:p>
        </w:tc>
        <w:tc>
          <w:tcPr>
            <w:tcW w:w="1530" w:type="dxa"/>
            <w:tcBorders>
              <w:top w:val="single" w:color="auto" w:sz="4" w:space="0"/>
              <w:left w:val="nil"/>
              <w:bottom w:val="single" w:color="auto" w:sz="4" w:space="0"/>
              <w:right w:val="single" w:color="auto" w:sz="4" w:space="0"/>
            </w:tcBorders>
            <w:vAlign w:val="center"/>
          </w:tcPr>
          <w:p w14:paraId="0CE23354">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w:t>
            </w:r>
          </w:p>
        </w:tc>
        <w:tc>
          <w:tcPr>
            <w:tcW w:w="1278" w:type="dxa"/>
            <w:tcBorders>
              <w:top w:val="single" w:color="auto" w:sz="4" w:space="0"/>
              <w:left w:val="nil"/>
              <w:bottom w:val="single" w:color="auto" w:sz="4" w:space="0"/>
              <w:right w:val="single" w:color="auto" w:sz="4" w:space="0"/>
            </w:tcBorders>
            <w:vAlign w:val="center"/>
          </w:tcPr>
          <w:p w14:paraId="5CD7D735">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备注</w:t>
            </w:r>
          </w:p>
        </w:tc>
      </w:tr>
      <w:tr w14:paraId="70C498A3">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34E97F3B">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c>
          <w:tcPr>
            <w:tcW w:w="1999" w:type="dxa"/>
            <w:tcBorders>
              <w:top w:val="nil"/>
              <w:left w:val="nil"/>
              <w:bottom w:val="single" w:color="auto" w:sz="4" w:space="0"/>
              <w:right w:val="single" w:color="auto" w:sz="4" w:space="0"/>
            </w:tcBorders>
            <w:vAlign w:val="center"/>
          </w:tcPr>
          <w:p w14:paraId="7CC2C163">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空箱堆高机</w:t>
            </w:r>
          </w:p>
        </w:tc>
        <w:tc>
          <w:tcPr>
            <w:tcW w:w="2437" w:type="dxa"/>
            <w:tcBorders>
              <w:top w:val="nil"/>
              <w:left w:val="nil"/>
              <w:bottom w:val="single" w:color="auto" w:sz="4" w:space="0"/>
              <w:right w:val="single" w:color="auto" w:sz="4" w:space="0"/>
            </w:tcBorders>
            <w:vAlign w:val="center"/>
          </w:tcPr>
          <w:p w14:paraId="5681F3B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SANYI</w:t>
            </w:r>
          </w:p>
        </w:tc>
        <w:tc>
          <w:tcPr>
            <w:tcW w:w="1530" w:type="dxa"/>
            <w:tcBorders>
              <w:top w:val="nil"/>
              <w:left w:val="nil"/>
              <w:bottom w:val="single" w:color="auto" w:sz="4" w:space="0"/>
              <w:right w:val="single" w:color="auto" w:sz="4" w:space="0"/>
            </w:tcBorders>
            <w:vAlign w:val="center"/>
          </w:tcPr>
          <w:p w14:paraId="526EA989">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7A6ADD9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74D01605">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4120A5D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w:t>
            </w:r>
          </w:p>
        </w:tc>
        <w:tc>
          <w:tcPr>
            <w:tcW w:w="1999" w:type="dxa"/>
            <w:tcBorders>
              <w:top w:val="nil"/>
              <w:left w:val="nil"/>
              <w:bottom w:val="single" w:color="auto" w:sz="4" w:space="0"/>
              <w:right w:val="single" w:color="auto" w:sz="4" w:space="0"/>
            </w:tcBorders>
            <w:vAlign w:val="center"/>
          </w:tcPr>
          <w:p w14:paraId="1C880AD8">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PLC显示屏</w:t>
            </w:r>
          </w:p>
        </w:tc>
        <w:tc>
          <w:tcPr>
            <w:tcW w:w="2437" w:type="dxa"/>
            <w:tcBorders>
              <w:top w:val="nil"/>
              <w:left w:val="nil"/>
              <w:bottom w:val="single" w:color="auto" w:sz="4" w:space="0"/>
              <w:right w:val="single" w:color="auto" w:sz="4" w:space="0"/>
            </w:tcBorders>
            <w:vAlign w:val="center"/>
          </w:tcPr>
          <w:p w14:paraId="2A14C81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7A4D59C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047AC479">
            <w:pPr>
              <w:jc w:val="center"/>
              <w:rPr>
                <w:rFonts w:hint="eastAsia" w:ascii="仿宋_GB2312" w:hAnsi="仿宋_GB2312" w:eastAsia="仿宋_GB2312" w:cs="仿宋_GB2312"/>
                <w:color w:val="auto"/>
                <w:sz w:val="28"/>
                <w:szCs w:val="28"/>
              </w:rPr>
            </w:pPr>
          </w:p>
        </w:tc>
      </w:tr>
      <w:tr w14:paraId="4CA53CF9">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6DE9A344">
            <w:pPr>
              <w:jc w:val="center"/>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sz w:val="28"/>
                <w:szCs w:val="28"/>
                <w:lang w:eastAsia="zh-CN"/>
              </w:rPr>
              <w:t>3</w:t>
            </w:r>
          </w:p>
        </w:tc>
        <w:tc>
          <w:tcPr>
            <w:tcW w:w="1999" w:type="dxa"/>
            <w:tcBorders>
              <w:top w:val="nil"/>
              <w:left w:val="nil"/>
              <w:bottom w:val="single" w:color="auto" w:sz="4" w:space="0"/>
              <w:right w:val="single" w:color="auto" w:sz="4" w:space="0"/>
            </w:tcBorders>
            <w:vAlign w:val="center"/>
          </w:tcPr>
          <w:p w14:paraId="372965CF">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万用表</w:t>
            </w:r>
          </w:p>
        </w:tc>
        <w:tc>
          <w:tcPr>
            <w:tcW w:w="2437" w:type="dxa"/>
            <w:tcBorders>
              <w:top w:val="nil"/>
              <w:left w:val="nil"/>
              <w:bottom w:val="single" w:color="auto" w:sz="4" w:space="0"/>
              <w:right w:val="single" w:color="auto" w:sz="4" w:space="0"/>
            </w:tcBorders>
            <w:vAlign w:val="center"/>
          </w:tcPr>
          <w:p w14:paraId="4A3384A6">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3574B4F7">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94F2758">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w:t>
            </w:r>
          </w:p>
        </w:tc>
      </w:tr>
      <w:tr w14:paraId="34D6D1B4">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7A210CC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w:t>
            </w:r>
          </w:p>
        </w:tc>
        <w:tc>
          <w:tcPr>
            <w:tcW w:w="1999" w:type="dxa"/>
            <w:tcBorders>
              <w:top w:val="nil"/>
              <w:left w:val="nil"/>
              <w:bottom w:val="single" w:color="auto" w:sz="4" w:space="0"/>
              <w:right w:val="single" w:color="auto" w:sz="4" w:space="0"/>
            </w:tcBorders>
            <w:vAlign w:val="center"/>
          </w:tcPr>
          <w:p w14:paraId="60F3EC7B">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螺丝刀</w:t>
            </w:r>
          </w:p>
        </w:tc>
        <w:tc>
          <w:tcPr>
            <w:tcW w:w="2437" w:type="dxa"/>
            <w:tcBorders>
              <w:top w:val="nil"/>
              <w:left w:val="nil"/>
              <w:bottom w:val="single" w:color="auto" w:sz="4" w:space="0"/>
              <w:right w:val="single" w:color="auto" w:sz="4" w:space="0"/>
            </w:tcBorders>
            <w:vAlign w:val="center"/>
          </w:tcPr>
          <w:p w14:paraId="08C421E6">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675527A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48DF2D39">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2D573478">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3037B2BE">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999" w:type="dxa"/>
            <w:tcBorders>
              <w:top w:val="nil"/>
              <w:left w:val="nil"/>
              <w:bottom w:val="single" w:color="auto" w:sz="4" w:space="0"/>
              <w:right w:val="single" w:color="auto" w:sz="4" w:space="0"/>
            </w:tcBorders>
            <w:vAlign w:val="center"/>
          </w:tcPr>
          <w:p w14:paraId="63D10062">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电笔</w:t>
            </w:r>
          </w:p>
        </w:tc>
        <w:tc>
          <w:tcPr>
            <w:tcW w:w="2437" w:type="dxa"/>
            <w:tcBorders>
              <w:top w:val="nil"/>
              <w:left w:val="nil"/>
              <w:bottom w:val="single" w:color="auto" w:sz="4" w:space="0"/>
              <w:right w:val="single" w:color="auto" w:sz="4" w:space="0"/>
            </w:tcBorders>
            <w:vAlign w:val="center"/>
          </w:tcPr>
          <w:p w14:paraId="640895E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386AB04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6FF88D72">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0ED2B339">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0584A25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6</w:t>
            </w:r>
          </w:p>
        </w:tc>
        <w:tc>
          <w:tcPr>
            <w:tcW w:w="1999" w:type="dxa"/>
            <w:tcBorders>
              <w:top w:val="nil"/>
              <w:left w:val="nil"/>
              <w:bottom w:val="single" w:color="auto" w:sz="4" w:space="0"/>
              <w:right w:val="single" w:color="auto" w:sz="4" w:space="0"/>
            </w:tcBorders>
            <w:vAlign w:val="center"/>
          </w:tcPr>
          <w:p w14:paraId="4C5550D4">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尖嘴钳</w:t>
            </w:r>
          </w:p>
        </w:tc>
        <w:tc>
          <w:tcPr>
            <w:tcW w:w="2437" w:type="dxa"/>
            <w:tcBorders>
              <w:top w:val="nil"/>
              <w:left w:val="nil"/>
              <w:bottom w:val="single" w:color="auto" w:sz="4" w:space="0"/>
              <w:right w:val="single" w:color="auto" w:sz="4" w:space="0"/>
            </w:tcBorders>
            <w:vAlign w:val="center"/>
          </w:tcPr>
          <w:p w14:paraId="000AB1B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3550145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C283DAB">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4931B3CA">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44324CFA">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7</w:t>
            </w:r>
          </w:p>
        </w:tc>
        <w:tc>
          <w:tcPr>
            <w:tcW w:w="1999" w:type="dxa"/>
            <w:tcBorders>
              <w:top w:val="nil"/>
              <w:left w:val="nil"/>
              <w:bottom w:val="single" w:color="auto" w:sz="4" w:space="0"/>
              <w:right w:val="single" w:color="auto" w:sz="4" w:space="0"/>
            </w:tcBorders>
            <w:vAlign w:val="center"/>
          </w:tcPr>
          <w:p w14:paraId="58BFE04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活动扳手</w:t>
            </w:r>
          </w:p>
        </w:tc>
        <w:tc>
          <w:tcPr>
            <w:tcW w:w="2437" w:type="dxa"/>
            <w:tcBorders>
              <w:top w:val="nil"/>
              <w:left w:val="nil"/>
              <w:bottom w:val="single" w:color="auto" w:sz="4" w:space="0"/>
              <w:right w:val="single" w:color="auto" w:sz="4" w:space="0"/>
            </w:tcBorders>
            <w:vAlign w:val="center"/>
          </w:tcPr>
          <w:p w14:paraId="540C9667">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01F2E29C">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5DEC3171">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r>
      <w:tr w14:paraId="52E1A56B">
        <w:tblPrEx>
          <w:tblCellMar>
            <w:top w:w="0" w:type="dxa"/>
            <w:left w:w="108" w:type="dxa"/>
            <w:bottom w:w="0" w:type="dxa"/>
            <w:right w:w="108" w:type="dxa"/>
          </w:tblCellMar>
        </w:tblPrEx>
        <w:trPr>
          <w:trHeight w:val="485" w:hRule="atLeast"/>
          <w:jc w:val="center"/>
        </w:trPr>
        <w:tc>
          <w:tcPr>
            <w:tcW w:w="834" w:type="dxa"/>
            <w:tcBorders>
              <w:top w:val="nil"/>
              <w:left w:val="single" w:color="auto" w:sz="4" w:space="0"/>
              <w:bottom w:val="single" w:color="auto" w:sz="4" w:space="0"/>
              <w:right w:val="single" w:color="auto" w:sz="4" w:space="0"/>
            </w:tcBorders>
            <w:vAlign w:val="center"/>
          </w:tcPr>
          <w:p w14:paraId="12CB20E8">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8</w:t>
            </w:r>
          </w:p>
        </w:tc>
        <w:tc>
          <w:tcPr>
            <w:tcW w:w="1999" w:type="dxa"/>
            <w:tcBorders>
              <w:top w:val="nil"/>
              <w:left w:val="nil"/>
              <w:bottom w:val="single" w:color="auto" w:sz="4" w:space="0"/>
              <w:right w:val="single" w:color="auto" w:sz="4" w:space="0"/>
            </w:tcBorders>
            <w:vAlign w:val="center"/>
          </w:tcPr>
          <w:p w14:paraId="15BA1390">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斜口钳</w:t>
            </w:r>
          </w:p>
        </w:tc>
        <w:tc>
          <w:tcPr>
            <w:tcW w:w="2437" w:type="dxa"/>
            <w:tcBorders>
              <w:top w:val="nil"/>
              <w:left w:val="nil"/>
              <w:bottom w:val="single" w:color="auto" w:sz="4" w:space="0"/>
              <w:right w:val="single" w:color="auto" w:sz="4" w:space="0"/>
            </w:tcBorders>
            <w:vAlign w:val="center"/>
          </w:tcPr>
          <w:p w14:paraId="1E8D4665">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w:t>
            </w:r>
          </w:p>
        </w:tc>
        <w:tc>
          <w:tcPr>
            <w:tcW w:w="1530" w:type="dxa"/>
            <w:tcBorders>
              <w:top w:val="nil"/>
              <w:left w:val="nil"/>
              <w:bottom w:val="single" w:color="auto" w:sz="4" w:space="0"/>
              <w:right w:val="single" w:color="auto" w:sz="4" w:space="0"/>
            </w:tcBorders>
            <w:vAlign w:val="center"/>
          </w:tcPr>
          <w:p w14:paraId="2CD24452">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5</w:t>
            </w:r>
          </w:p>
        </w:tc>
        <w:tc>
          <w:tcPr>
            <w:tcW w:w="1278" w:type="dxa"/>
            <w:tcBorders>
              <w:top w:val="nil"/>
              <w:left w:val="nil"/>
              <w:bottom w:val="single" w:color="auto" w:sz="4" w:space="0"/>
              <w:right w:val="single" w:color="auto" w:sz="4" w:space="0"/>
            </w:tcBorders>
            <w:vAlign w:val="center"/>
          </w:tcPr>
          <w:p w14:paraId="1993B709">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p>
        </w:tc>
      </w:tr>
      <w:tr w14:paraId="171B2AA1">
        <w:tblPrEx>
          <w:tblCellMar>
            <w:top w:w="0" w:type="dxa"/>
            <w:left w:w="108" w:type="dxa"/>
            <w:bottom w:w="0" w:type="dxa"/>
            <w:right w:w="108" w:type="dxa"/>
          </w:tblCellMar>
        </w:tblPrEx>
        <w:trPr>
          <w:trHeight w:val="485" w:hRule="atLeast"/>
          <w:jc w:val="center"/>
        </w:trPr>
        <w:tc>
          <w:tcPr>
            <w:tcW w:w="834" w:type="dxa"/>
            <w:tcBorders>
              <w:top w:val="single" w:color="auto" w:sz="4" w:space="0"/>
              <w:left w:val="single" w:color="auto" w:sz="4" w:space="0"/>
              <w:bottom w:val="single" w:color="auto" w:sz="4" w:space="0"/>
              <w:right w:val="single" w:color="auto" w:sz="4" w:space="0"/>
            </w:tcBorders>
            <w:vAlign w:val="center"/>
          </w:tcPr>
          <w:p w14:paraId="3593C8D9">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说明</w:t>
            </w:r>
          </w:p>
        </w:tc>
        <w:tc>
          <w:tcPr>
            <w:tcW w:w="7244" w:type="dxa"/>
            <w:gridSpan w:val="4"/>
            <w:tcBorders>
              <w:top w:val="single" w:color="auto" w:sz="4" w:space="0"/>
              <w:left w:val="nil"/>
              <w:bottom w:val="single" w:color="auto" w:sz="4" w:space="0"/>
              <w:right w:val="single" w:color="auto" w:sz="4" w:space="0"/>
            </w:tcBorders>
            <w:vAlign w:val="center"/>
          </w:tcPr>
          <w:p w14:paraId="018CF18C">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以上设备、材料如有变动，以执委会通知为准。</w:t>
            </w:r>
          </w:p>
        </w:tc>
      </w:tr>
    </w:tbl>
    <w:p w14:paraId="083F20C2">
      <w:pPr>
        <w:spacing w:line="580" w:lineRule="exact"/>
        <w:ind w:firstLine="640" w:firstLineChars="200"/>
        <w:jc w:val="both"/>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六、竞赛规则</w:t>
      </w:r>
    </w:p>
    <w:p w14:paraId="78D86F47">
      <w:pPr>
        <w:widowControl w:val="0"/>
        <w:kinsoku/>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（一）理论知识竞赛守则</w:t>
      </w:r>
    </w:p>
    <w:p w14:paraId="2231F337">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1.参赛证由执委会于竞赛开始前统一核发。</w:t>
      </w:r>
    </w:p>
    <w:p w14:paraId="714C3CF3">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2.参赛选手需提前20分钟凭有效身份证和参赛证进入赛场，对号入座并将身份证和参赛证放在座位左上角明显位置，以备查验。迟到20分钟不得入场，开赛20分钟后方可交卷离场。</w:t>
      </w:r>
    </w:p>
    <w:p w14:paraId="14CB2A6B">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bookmarkStart w:id="10" w:name="_Hlk518375175"/>
      <w:r>
        <w:rPr>
          <w:rFonts w:hint="eastAsia" w:ascii="仿宋_GB2312" w:hAnsi="仿宋_GB2312" w:eastAsia="仿宋_GB2312" w:cs="仿宋_GB2312"/>
          <w:sz w:val="32"/>
          <w:szCs w:val="32"/>
          <w:lang w:eastAsia="zh-CN"/>
        </w:rPr>
        <w:t>3.参赛选手不能携带与竞赛相关的文件资料、通讯工具进入赛场。在赛场上应自觉遵守赛场秩序，保持安静，竞赛进行过程中不允许任何形式的交谈，更不得大声喧哗吵闹，否则将给予警告直至取消竞赛资格</w:t>
      </w:r>
      <w:bookmarkEnd w:id="10"/>
      <w:r>
        <w:rPr>
          <w:rFonts w:hint="eastAsia" w:ascii="仿宋_GB2312" w:hAnsi="仿宋_GB2312" w:eastAsia="仿宋_GB2312" w:cs="仿宋_GB2312"/>
          <w:sz w:val="32"/>
          <w:szCs w:val="32"/>
          <w:lang w:eastAsia="zh-CN"/>
        </w:rPr>
        <w:t>。</w:t>
      </w:r>
    </w:p>
    <w:p w14:paraId="51271353">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4.冒名顶替、弄虚作假、作弊者，取消竞赛资格及成绩。</w:t>
      </w:r>
    </w:p>
    <w:p w14:paraId="631D49CA">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5.竞赛规定时间结束时，</w:t>
      </w:r>
      <w:r>
        <w:rPr>
          <w:rFonts w:hint="eastAsia" w:ascii="仿宋_GB2312" w:hAnsi="仿宋_GB2312" w:eastAsia="仿宋_GB2312" w:cs="仿宋_GB2312"/>
          <w:color w:val="000000" w:themeColor="text1"/>
          <w:sz w:val="32"/>
          <w:szCs w:val="32"/>
          <w:lang w:eastAsia="zh-CN"/>
          <w14:textFill>
            <w14:solidFill>
              <w14:schemeClr w14:val="tx1"/>
            </w14:solidFill>
          </w14:textFill>
        </w:rPr>
        <w:t>参赛</w:t>
      </w:r>
      <w:r>
        <w:rPr>
          <w:rFonts w:hint="eastAsia" w:ascii="仿宋_GB2312" w:hAnsi="仿宋_GB2312" w:eastAsia="仿宋_GB2312" w:cs="仿宋_GB2312"/>
          <w:sz w:val="32"/>
          <w:szCs w:val="32"/>
          <w:lang w:eastAsia="zh-CN"/>
        </w:rPr>
        <w:t>选手应立即停止答题，有秩序的离开赛场。</w:t>
      </w:r>
    </w:p>
    <w:p w14:paraId="75A4C723">
      <w:pPr>
        <w:widowControl w:val="0"/>
        <w:kinsoku/>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（二）实际操作竞赛赛场守则</w:t>
      </w:r>
    </w:p>
    <w:p w14:paraId="4D78741D">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1.实际操作竞赛选手的出场顺序和实操台位置由抽签决定。</w:t>
      </w:r>
    </w:p>
    <w:p w14:paraId="210B53AE">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2.参赛选手需提前30分钟凭有效身份证和参赛证进入赛场，对竞赛工具设备进行检查。</w:t>
      </w:r>
    </w:p>
    <w:p w14:paraId="4A95F734">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3.开赛迟到30分钟以上者，按自动弃权处理。</w:t>
      </w:r>
    </w:p>
    <w:p w14:paraId="76395A2F">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4.参赛选手按要求完成各竞赛项目，并主动配合裁判员评分。</w:t>
      </w:r>
    </w:p>
    <w:p w14:paraId="1145A42E">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5.参赛选手应严格遵守赛场纪律，所有的通讯工具、摄像工具不得带入竞赛现场，对竞赛设施设备应爱护，防止丢失和损坏。</w:t>
      </w:r>
    </w:p>
    <w:p w14:paraId="37B829CA">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6.冒名顶替、弄虚作假、作弊者，取消竞赛资格及成绩。</w:t>
      </w:r>
    </w:p>
    <w:p w14:paraId="2F280340">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7.参赛选手须严格遵守安全操作规程及劳动保护要求，接受裁判员、现场技术服务人员的监督和警示，确保设备及人身安全。</w:t>
      </w:r>
    </w:p>
    <w:p w14:paraId="2D117210">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8.在实际操作竞赛过程中，裁判应对每名参赛选手的各道工序认真记录，并填写评分表。</w:t>
      </w:r>
    </w:p>
    <w:p w14:paraId="1151920D">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9.竞赛过程中如果出现安全事故，裁判员应立即中止竞赛。如查实事故责任属参赛选手，即取消参赛选手竞赛资格。</w:t>
      </w:r>
    </w:p>
    <w:p w14:paraId="015CC615">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10.当现场全部竞赛完成后，参赛选手方可允许离开。</w:t>
      </w:r>
    </w:p>
    <w:p w14:paraId="5F27C06F">
      <w:pPr>
        <w:widowControl w:val="0"/>
        <w:kinsoku/>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（三）赛场规则</w:t>
      </w:r>
    </w:p>
    <w:p w14:paraId="130E53FF">
      <w:pPr>
        <w:widowControl w:val="0"/>
        <w:kinsoku/>
        <w:autoSpaceDN/>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1.各类赛务人员必须统一佩戴由大赛执委会签发的相应证件，着装整齐。</w:t>
      </w:r>
    </w:p>
    <w:p w14:paraId="27B90B45">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2.各赛场除现场裁判、赛场配备的工作人员以外，其他人员未经允许不得进入赛场。</w:t>
      </w:r>
    </w:p>
    <w:p w14:paraId="00F2214C">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3.新闻媒体等进入赛场必须经过大赛执委会允许，并且听从现场工作人员的安排和管理，不能影响竞赛进行。</w:t>
      </w:r>
    </w:p>
    <w:p w14:paraId="63F4222B">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4.各参赛队的领队、指导老师以及随行人员一律不得进入赛场。</w:t>
      </w:r>
    </w:p>
    <w:p w14:paraId="27CFC95B">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5.竞赛期间，参赛选手未经大赛执委会批准，不得接受其他单位和个人对竞赛相关内容的采访。</w:t>
      </w:r>
    </w:p>
    <w:p w14:paraId="696C5F0E">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6.参赛选手不得私自公布竞赛相关资料和情况。</w:t>
      </w:r>
    </w:p>
    <w:p w14:paraId="7D87825C">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7.竞赛过程中，参赛选手必须主动配合裁判工作，服从裁判安排，如果对竞赛的裁决有异议，可按规定以书面形式向执委会申诉受理组提出申诉。</w:t>
      </w:r>
    </w:p>
    <w:p w14:paraId="52A1014D">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8.竞赛现场必须配备实时监控系统，对现场赛事进行完整的实时监控和录像，并有专人对竞赛环节进行全程录像。</w:t>
      </w:r>
    </w:p>
    <w:p w14:paraId="05BBC6CF">
      <w:pPr>
        <w:widowControl w:val="0"/>
        <w:kinsoku/>
        <w:autoSpaceDN/>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（四）赛事安全要求</w:t>
      </w:r>
    </w:p>
    <w:p w14:paraId="0FC6B2E4">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1.决赛场地设有安全防卫人员，负责竞赛期间安全事务。主要包括检查竞赛场地及其周围环境的安全防卫；制定紧急应对方案；督导竞赛场地用电等相关安全问题。</w:t>
      </w:r>
    </w:p>
    <w:p w14:paraId="54C99770">
      <w:pPr>
        <w:widowControl w:val="0"/>
        <w:kinsoku/>
        <w:autoSpaceDN/>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2.严格按照安全应急预案加强对竞赛全过程的动态管理，确保竞赛活动安全有序。</w:t>
      </w:r>
    </w:p>
    <w:p w14:paraId="54C38FE2">
      <w:pPr>
        <w:widowControl w:val="0"/>
        <w:kinsoku/>
        <w:autoSpaceDN/>
        <w:spacing w:line="560" w:lineRule="exact"/>
        <w:ind w:firstLine="640" w:firstLineChars="200"/>
        <w:textAlignment w:val="auto"/>
        <w:rPr>
          <w:rFonts w:hint="eastAsia" w:ascii="楷体" w:hAnsi="楷体" w:eastAsia="楷体" w:cs="仿宋_GB2312"/>
          <w:snapToGrid/>
          <w:sz w:val="30"/>
          <w:szCs w:val="30"/>
          <w:lang w:eastAsia="zh-CN"/>
        </w:rPr>
      </w:pPr>
      <w:r>
        <w:rPr>
          <w:rFonts w:hint="eastAsia" w:ascii="黑体" w:hAnsi="黑体" w:eastAsia="黑体" w:cs="黑体"/>
          <w:sz w:val="32"/>
          <w:szCs w:val="32"/>
          <w:lang w:eastAsia="zh-CN"/>
        </w:rPr>
        <w:t>七、本技术文件条款的最终解释权归组委会所有。</w:t>
      </w:r>
    </w:p>
    <w:sectPr>
      <w:footerReference r:id="rId3" w:type="default"/>
      <w:pgSz w:w="11906" w:h="16838"/>
      <w:pgMar w:top="1440" w:right="1803"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AE33B1-C73F-4618-A5D7-FB47842F3E6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200247B" w:usb2="00000009" w:usb3="00000000" w:csb0="200001FF" w:csb1="00000000"/>
  </w:font>
  <w:font w:name="Inria 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 New Roman (Headings CS)">
    <w:altName w:val="Times New Roman"/>
    <w:panose1 w:val="00000000000000000000"/>
    <w:charset w:val="00"/>
    <w:family w:val="roman"/>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embedRegular r:id="rId2" w:fontKey="{C0B7AF91-40A4-4CBA-AC8B-986F37E3C53D}"/>
  </w:font>
  <w:font w:name="微软雅黑">
    <w:panose1 w:val="020B0503020204020204"/>
    <w:charset w:val="86"/>
    <w:family w:val="swiss"/>
    <w:pitch w:val="default"/>
    <w:sig w:usb0="80000287" w:usb1="2ACF3C50" w:usb2="00000016" w:usb3="00000000" w:csb0="0004001F" w:csb1="00000000"/>
    <w:embedRegular r:id="rId3" w:fontKey="{0956F00C-D574-45F2-8682-2DF4F98B69BF}"/>
  </w:font>
  <w:font w:name="仿宋_GB2312">
    <w:panose1 w:val="02010609030101010101"/>
    <w:charset w:val="86"/>
    <w:family w:val="auto"/>
    <w:pitch w:val="default"/>
    <w:sig w:usb0="00000001" w:usb1="080E0000" w:usb2="00000000" w:usb3="00000000" w:csb0="00040000" w:csb1="00000000"/>
    <w:embedRegular r:id="rId4" w:fontKey="{BAF01746-D9D1-42D6-83CB-C1296C2156C6}"/>
  </w:font>
  <w:font w:name="楷体_GB2312">
    <w:panose1 w:val="02010609030101010101"/>
    <w:charset w:val="86"/>
    <w:family w:val="modern"/>
    <w:pitch w:val="default"/>
    <w:sig w:usb0="00000001" w:usb1="080E0000" w:usb2="00000000" w:usb3="00000000" w:csb0="00040000" w:csb1="00000000"/>
    <w:embedRegular r:id="rId5" w:fontKey="{6917F197-59A4-40FF-B242-0BBE38880FCC}"/>
  </w:font>
  <w:font w:name="楷体">
    <w:panose1 w:val="02010609060101010101"/>
    <w:charset w:val="86"/>
    <w:family w:val="modern"/>
    <w:pitch w:val="default"/>
    <w:sig w:usb0="800002BF" w:usb1="38CF7CFA" w:usb2="00000016" w:usb3="00000000" w:csb0="00040001" w:csb1="00000000"/>
    <w:embedRegular r:id="rId6" w:fontKey="{DCDEB705-CEC7-4FBF-BE65-2E35E5484D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54C13">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8A95D8">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C8A95D8">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5E88A3"/>
    <w:multiLevelType w:val="singleLevel"/>
    <w:tmpl w:val="F95E88A3"/>
    <w:lvl w:ilvl="0" w:tentative="0">
      <w:start w:val="2"/>
      <w:numFmt w:val="chineseCounting"/>
      <w:suff w:val="nothing"/>
      <w:lvlText w:val="（%1）"/>
      <w:lvlJc w:val="left"/>
      <w:pPr>
        <w:ind w:left="6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lY2Y2MWE0NmRiZGM4NzdkZjEzZjlmYzI1NTY1OWUifQ=="/>
    <w:docVar w:name="KSO_WPS_MARK_KEY" w:val="3a61acb6-7c3e-4dc5-9368-a2a1dbd9706e"/>
  </w:docVars>
  <w:rsids>
    <w:rsidRoot w:val="0082317F"/>
    <w:rsid w:val="00006B16"/>
    <w:rsid w:val="000115A2"/>
    <w:rsid w:val="000147D8"/>
    <w:rsid w:val="00020C04"/>
    <w:rsid w:val="00026BDB"/>
    <w:rsid w:val="00027DE4"/>
    <w:rsid w:val="000315AE"/>
    <w:rsid w:val="00040F9D"/>
    <w:rsid w:val="000411F2"/>
    <w:rsid w:val="00045CF8"/>
    <w:rsid w:val="000551E4"/>
    <w:rsid w:val="00055BD9"/>
    <w:rsid w:val="00057BF0"/>
    <w:rsid w:val="0006444E"/>
    <w:rsid w:val="00065AFB"/>
    <w:rsid w:val="00073133"/>
    <w:rsid w:val="00073761"/>
    <w:rsid w:val="00075407"/>
    <w:rsid w:val="0008356C"/>
    <w:rsid w:val="00083617"/>
    <w:rsid w:val="00094636"/>
    <w:rsid w:val="0009753C"/>
    <w:rsid w:val="000B4DF4"/>
    <w:rsid w:val="000C693F"/>
    <w:rsid w:val="000F0A17"/>
    <w:rsid w:val="000F176A"/>
    <w:rsid w:val="000F1FFF"/>
    <w:rsid w:val="001047B4"/>
    <w:rsid w:val="00140AA0"/>
    <w:rsid w:val="0015041C"/>
    <w:rsid w:val="0017234D"/>
    <w:rsid w:val="001742DC"/>
    <w:rsid w:val="00180107"/>
    <w:rsid w:val="001820C9"/>
    <w:rsid w:val="0019154A"/>
    <w:rsid w:val="00192A4D"/>
    <w:rsid w:val="001968EB"/>
    <w:rsid w:val="001B06D0"/>
    <w:rsid w:val="001C7F2F"/>
    <w:rsid w:val="001D46CF"/>
    <w:rsid w:val="001E749C"/>
    <w:rsid w:val="001F1B91"/>
    <w:rsid w:val="001F3FBA"/>
    <w:rsid w:val="001F6311"/>
    <w:rsid w:val="002156B1"/>
    <w:rsid w:val="00215DF7"/>
    <w:rsid w:val="002169E1"/>
    <w:rsid w:val="00220944"/>
    <w:rsid w:val="00237643"/>
    <w:rsid w:val="0025249B"/>
    <w:rsid w:val="002605F4"/>
    <w:rsid w:val="00284E3C"/>
    <w:rsid w:val="0028543D"/>
    <w:rsid w:val="00285651"/>
    <w:rsid w:val="002869E6"/>
    <w:rsid w:val="002B3604"/>
    <w:rsid w:val="002C63AD"/>
    <w:rsid w:val="002E7774"/>
    <w:rsid w:val="002F7884"/>
    <w:rsid w:val="00316B60"/>
    <w:rsid w:val="0034355F"/>
    <w:rsid w:val="00361D45"/>
    <w:rsid w:val="0037349F"/>
    <w:rsid w:val="00375200"/>
    <w:rsid w:val="00380275"/>
    <w:rsid w:val="00393FDF"/>
    <w:rsid w:val="003A7F78"/>
    <w:rsid w:val="003D234E"/>
    <w:rsid w:val="003D77B5"/>
    <w:rsid w:val="003E427A"/>
    <w:rsid w:val="003F0B51"/>
    <w:rsid w:val="003F16AA"/>
    <w:rsid w:val="003F39B5"/>
    <w:rsid w:val="004014B0"/>
    <w:rsid w:val="004062EE"/>
    <w:rsid w:val="0042059D"/>
    <w:rsid w:val="004218A0"/>
    <w:rsid w:val="00430099"/>
    <w:rsid w:val="004322F8"/>
    <w:rsid w:val="00435320"/>
    <w:rsid w:val="00450A32"/>
    <w:rsid w:val="0045714E"/>
    <w:rsid w:val="00461A44"/>
    <w:rsid w:val="00491C80"/>
    <w:rsid w:val="0049791B"/>
    <w:rsid w:val="004A0741"/>
    <w:rsid w:val="004A266D"/>
    <w:rsid w:val="004B374A"/>
    <w:rsid w:val="004C1963"/>
    <w:rsid w:val="004C267C"/>
    <w:rsid w:val="004C6CB7"/>
    <w:rsid w:val="004D05F8"/>
    <w:rsid w:val="004E6365"/>
    <w:rsid w:val="004E7678"/>
    <w:rsid w:val="00502C89"/>
    <w:rsid w:val="0050417D"/>
    <w:rsid w:val="005048A5"/>
    <w:rsid w:val="005114A9"/>
    <w:rsid w:val="00533C3D"/>
    <w:rsid w:val="00533DFB"/>
    <w:rsid w:val="00571E00"/>
    <w:rsid w:val="005930F3"/>
    <w:rsid w:val="005A1A1A"/>
    <w:rsid w:val="005A66CA"/>
    <w:rsid w:val="005D2B9B"/>
    <w:rsid w:val="005F0938"/>
    <w:rsid w:val="006027DE"/>
    <w:rsid w:val="00603B20"/>
    <w:rsid w:val="00607B39"/>
    <w:rsid w:val="00610121"/>
    <w:rsid w:val="00621C19"/>
    <w:rsid w:val="00624B52"/>
    <w:rsid w:val="0062736B"/>
    <w:rsid w:val="006342EB"/>
    <w:rsid w:val="0064030E"/>
    <w:rsid w:val="00643716"/>
    <w:rsid w:val="006461C1"/>
    <w:rsid w:val="0065409D"/>
    <w:rsid w:val="00660FCD"/>
    <w:rsid w:val="00670424"/>
    <w:rsid w:val="00690752"/>
    <w:rsid w:val="006A0557"/>
    <w:rsid w:val="006A0B64"/>
    <w:rsid w:val="006A196C"/>
    <w:rsid w:val="006A77D6"/>
    <w:rsid w:val="006A7DDF"/>
    <w:rsid w:val="006C149C"/>
    <w:rsid w:val="006D7152"/>
    <w:rsid w:val="0070579F"/>
    <w:rsid w:val="007059E2"/>
    <w:rsid w:val="00710884"/>
    <w:rsid w:val="00716C23"/>
    <w:rsid w:val="00722D1B"/>
    <w:rsid w:val="007408ED"/>
    <w:rsid w:val="00746CB7"/>
    <w:rsid w:val="007510EB"/>
    <w:rsid w:val="0076774F"/>
    <w:rsid w:val="00784780"/>
    <w:rsid w:val="00793B8F"/>
    <w:rsid w:val="007A378A"/>
    <w:rsid w:val="007C0713"/>
    <w:rsid w:val="007D5C71"/>
    <w:rsid w:val="007D67BF"/>
    <w:rsid w:val="007F018E"/>
    <w:rsid w:val="00807A82"/>
    <w:rsid w:val="00812800"/>
    <w:rsid w:val="00815AE3"/>
    <w:rsid w:val="00816B05"/>
    <w:rsid w:val="008224F2"/>
    <w:rsid w:val="0082317F"/>
    <w:rsid w:val="00832556"/>
    <w:rsid w:val="00834748"/>
    <w:rsid w:val="00835E5D"/>
    <w:rsid w:val="00840915"/>
    <w:rsid w:val="0084173F"/>
    <w:rsid w:val="00850FF4"/>
    <w:rsid w:val="00861AF5"/>
    <w:rsid w:val="00871FA4"/>
    <w:rsid w:val="008734CA"/>
    <w:rsid w:val="00884714"/>
    <w:rsid w:val="00890582"/>
    <w:rsid w:val="008D17DA"/>
    <w:rsid w:val="008D58DF"/>
    <w:rsid w:val="008D742E"/>
    <w:rsid w:val="008F11E7"/>
    <w:rsid w:val="008F56AE"/>
    <w:rsid w:val="008F6C57"/>
    <w:rsid w:val="008F7DA6"/>
    <w:rsid w:val="009447D0"/>
    <w:rsid w:val="00946922"/>
    <w:rsid w:val="0096631B"/>
    <w:rsid w:val="00967CB6"/>
    <w:rsid w:val="009743CA"/>
    <w:rsid w:val="009844A4"/>
    <w:rsid w:val="00984660"/>
    <w:rsid w:val="00991798"/>
    <w:rsid w:val="00994988"/>
    <w:rsid w:val="009A06D3"/>
    <w:rsid w:val="009B3062"/>
    <w:rsid w:val="009B54FE"/>
    <w:rsid w:val="009C0C24"/>
    <w:rsid w:val="009C2699"/>
    <w:rsid w:val="009E6374"/>
    <w:rsid w:val="009E7FFD"/>
    <w:rsid w:val="00A20A9D"/>
    <w:rsid w:val="00A576B1"/>
    <w:rsid w:val="00A74C09"/>
    <w:rsid w:val="00AA5C51"/>
    <w:rsid w:val="00AC4C27"/>
    <w:rsid w:val="00AE6138"/>
    <w:rsid w:val="00B01741"/>
    <w:rsid w:val="00B07455"/>
    <w:rsid w:val="00B1210B"/>
    <w:rsid w:val="00B159A4"/>
    <w:rsid w:val="00B17258"/>
    <w:rsid w:val="00B36CC3"/>
    <w:rsid w:val="00B37520"/>
    <w:rsid w:val="00B41265"/>
    <w:rsid w:val="00B477CE"/>
    <w:rsid w:val="00B55F17"/>
    <w:rsid w:val="00B561F9"/>
    <w:rsid w:val="00B569A8"/>
    <w:rsid w:val="00B72F63"/>
    <w:rsid w:val="00B8546D"/>
    <w:rsid w:val="00B95339"/>
    <w:rsid w:val="00B95FCD"/>
    <w:rsid w:val="00BC4233"/>
    <w:rsid w:val="00BD45F7"/>
    <w:rsid w:val="00BE1294"/>
    <w:rsid w:val="00BE5615"/>
    <w:rsid w:val="00BF5F3D"/>
    <w:rsid w:val="00C206D2"/>
    <w:rsid w:val="00C272C0"/>
    <w:rsid w:val="00C41EBF"/>
    <w:rsid w:val="00C442C3"/>
    <w:rsid w:val="00C50757"/>
    <w:rsid w:val="00C527AD"/>
    <w:rsid w:val="00C54918"/>
    <w:rsid w:val="00C60668"/>
    <w:rsid w:val="00C652B4"/>
    <w:rsid w:val="00C73D26"/>
    <w:rsid w:val="00C75A22"/>
    <w:rsid w:val="00C775E9"/>
    <w:rsid w:val="00C8669B"/>
    <w:rsid w:val="00C9089D"/>
    <w:rsid w:val="00C908B6"/>
    <w:rsid w:val="00C91FEF"/>
    <w:rsid w:val="00C941E3"/>
    <w:rsid w:val="00C95EC5"/>
    <w:rsid w:val="00CA14AD"/>
    <w:rsid w:val="00CD2E71"/>
    <w:rsid w:val="00CD7213"/>
    <w:rsid w:val="00CE32BC"/>
    <w:rsid w:val="00CE3560"/>
    <w:rsid w:val="00CF7D90"/>
    <w:rsid w:val="00D00462"/>
    <w:rsid w:val="00D12F92"/>
    <w:rsid w:val="00D16CE8"/>
    <w:rsid w:val="00D23E23"/>
    <w:rsid w:val="00D35042"/>
    <w:rsid w:val="00D43EF6"/>
    <w:rsid w:val="00D552EB"/>
    <w:rsid w:val="00D62077"/>
    <w:rsid w:val="00D627AC"/>
    <w:rsid w:val="00D70E32"/>
    <w:rsid w:val="00DA0313"/>
    <w:rsid w:val="00DA3486"/>
    <w:rsid w:val="00DC2D62"/>
    <w:rsid w:val="00DC69BD"/>
    <w:rsid w:val="00DD12CE"/>
    <w:rsid w:val="00DE229A"/>
    <w:rsid w:val="00DE35FC"/>
    <w:rsid w:val="00DF3811"/>
    <w:rsid w:val="00E02FAA"/>
    <w:rsid w:val="00E10523"/>
    <w:rsid w:val="00E16F0E"/>
    <w:rsid w:val="00E36903"/>
    <w:rsid w:val="00E57FEA"/>
    <w:rsid w:val="00E62348"/>
    <w:rsid w:val="00E6331A"/>
    <w:rsid w:val="00E70857"/>
    <w:rsid w:val="00E93808"/>
    <w:rsid w:val="00EA4C60"/>
    <w:rsid w:val="00EB3DE4"/>
    <w:rsid w:val="00EC7EB5"/>
    <w:rsid w:val="00ED1B49"/>
    <w:rsid w:val="00ED28F3"/>
    <w:rsid w:val="00ED68BB"/>
    <w:rsid w:val="00F02513"/>
    <w:rsid w:val="00F1317D"/>
    <w:rsid w:val="00F16B15"/>
    <w:rsid w:val="00F22526"/>
    <w:rsid w:val="00F3332F"/>
    <w:rsid w:val="00F35E97"/>
    <w:rsid w:val="00F60D10"/>
    <w:rsid w:val="00F65B18"/>
    <w:rsid w:val="00F67965"/>
    <w:rsid w:val="00F736EC"/>
    <w:rsid w:val="00F804D5"/>
    <w:rsid w:val="00F82E80"/>
    <w:rsid w:val="00F95EE3"/>
    <w:rsid w:val="00F9709C"/>
    <w:rsid w:val="00FB21C1"/>
    <w:rsid w:val="00FB7594"/>
    <w:rsid w:val="00FC0603"/>
    <w:rsid w:val="00FC1D21"/>
    <w:rsid w:val="00FD67EE"/>
    <w:rsid w:val="00FE029C"/>
    <w:rsid w:val="00FE0902"/>
    <w:rsid w:val="00FF0030"/>
    <w:rsid w:val="00FF0534"/>
    <w:rsid w:val="00FF5709"/>
    <w:rsid w:val="00FF686B"/>
    <w:rsid w:val="00FF697A"/>
    <w:rsid w:val="01A278ED"/>
    <w:rsid w:val="02CC42EB"/>
    <w:rsid w:val="0334789D"/>
    <w:rsid w:val="049D1041"/>
    <w:rsid w:val="04F22EBA"/>
    <w:rsid w:val="05FA2B65"/>
    <w:rsid w:val="05FF7A92"/>
    <w:rsid w:val="0600400E"/>
    <w:rsid w:val="0648329A"/>
    <w:rsid w:val="0ABB5D85"/>
    <w:rsid w:val="0ADB5A7E"/>
    <w:rsid w:val="0B3A452F"/>
    <w:rsid w:val="0B4842A7"/>
    <w:rsid w:val="0D156991"/>
    <w:rsid w:val="0EDB63E7"/>
    <w:rsid w:val="0FF65414"/>
    <w:rsid w:val="10423332"/>
    <w:rsid w:val="11F9561C"/>
    <w:rsid w:val="14782001"/>
    <w:rsid w:val="16AD73C2"/>
    <w:rsid w:val="17310B00"/>
    <w:rsid w:val="19306328"/>
    <w:rsid w:val="1C590E40"/>
    <w:rsid w:val="1CD16B77"/>
    <w:rsid w:val="1D483115"/>
    <w:rsid w:val="1F09419F"/>
    <w:rsid w:val="1F3A31B1"/>
    <w:rsid w:val="21CB18BC"/>
    <w:rsid w:val="224B4C4B"/>
    <w:rsid w:val="23EAF14C"/>
    <w:rsid w:val="23F92711"/>
    <w:rsid w:val="248E6289"/>
    <w:rsid w:val="24A34F2A"/>
    <w:rsid w:val="25EF6C93"/>
    <w:rsid w:val="26393298"/>
    <w:rsid w:val="274F60C6"/>
    <w:rsid w:val="279E140F"/>
    <w:rsid w:val="281234B7"/>
    <w:rsid w:val="289F315B"/>
    <w:rsid w:val="28DB3015"/>
    <w:rsid w:val="2C3D518F"/>
    <w:rsid w:val="2D597BA6"/>
    <w:rsid w:val="2E133D5F"/>
    <w:rsid w:val="2ED31EC7"/>
    <w:rsid w:val="2ED845A8"/>
    <w:rsid w:val="30E66FD9"/>
    <w:rsid w:val="310F2204"/>
    <w:rsid w:val="31293F09"/>
    <w:rsid w:val="31AA06AE"/>
    <w:rsid w:val="331C5AD4"/>
    <w:rsid w:val="33694A91"/>
    <w:rsid w:val="369562F3"/>
    <w:rsid w:val="36987A3E"/>
    <w:rsid w:val="36DB5A46"/>
    <w:rsid w:val="37C60580"/>
    <w:rsid w:val="37EB6132"/>
    <w:rsid w:val="39027305"/>
    <w:rsid w:val="390C0223"/>
    <w:rsid w:val="398616DE"/>
    <w:rsid w:val="3AA84B51"/>
    <w:rsid w:val="3AD46768"/>
    <w:rsid w:val="3B2319C9"/>
    <w:rsid w:val="3CE617C6"/>
    <w:rsid w:val="3D06465A"/>
    <w:rsid w:val="3D211F38"/>
    <w:rsid w:val="3DEA6C89"/>
    <w:rsid w:val="3E71698B"/>
    <w:rsid w:val="3FA80FC4"/>
    <w:rsid w:val="40D438C0"/>
    <w:rsid w:val="41315BEA"/>
    <w:rsid w:val="439740CC"/>
    <w:rsid w:val="446C369C"/>
    <w:rsid w:val="45B87A1F"/>
    <w:rsid w:val="47C17AB6"/>
    <w:rsid w:val="48E57BCB"/>
    <w:rsid w:val="49445ED2"/>
    <w:rsid w:val="4A2D217F"/>
    <w:rsid w:val="4A6C513B"/>
    <w:rsid w:val="4BA9787D"/>
    <w:rsid w:val="4CB44B77"/>
    <w:rsid w:val="4CB60FA7"/>
    <w:rsid w:val="4EC74768"/>
    <w:rsid w:val="512D6CFA"/>
    <w:rsid w:val="55020B76"/>
    <w:rsid w:val="556D265A"/>
    <w:rsid w:val="578C2978"/>
    <w:rsid w:val="58CE16F9"/>
    <w:rsid w:val="58E00F5E"/>
    <w:rsid w:val="596B744E"/>
    <w:rsid w:val="597A013C"/>
    <w:rsid w:val="5DFA5334"/>
    <w:rsid w:val="5EEB61AA"/>
    <w:rsid w:val="601B55B1"/>
    <w:rsid w:val="60DE12A2"/>
    <w:rsid w:val="61D75138"/>
    <w:rsid w:val="62BE5816"/>
    <w:rsid w:val="6300696D"/>
    <w:rsid w:val="633D725E"/>
    <w:rsid w:val="65BD8A3F"/>
    <w:rsid w:val="66C53852"/>
    <w:rsid w:val="6747066A"/>
    <w:rsid w:val="674D51E2"/>
    <w:rsid w:val="677F5CAE"/>
    <w:rsid w:val="678F6A11"/>
    <w:rsid w:val="67EB4FC1"/>
    <w:rsid w:val="69623539"/>
    <w:rsid w:val="6AAF0A00"/>
    <w:rsid w:val="6BDE564B"/>
    <w:rsid w:val="74CC659F"/>
    <w:rsid w:val="750B0E95"/>
    <w:rsid w:val="75AF1AE9"/>
    <w:rsid w:val="75C17065"/>
    <w:rsid w:val="76A7320B"/>
    <w:rsid w:val="77C96290"/>
    <w:rsid w:val="7ADF43D7"/>
    <w:rsid w:val="7B087CB8"/>
    <w:rsid w:val="7B335078"/>
    <w:rsid w:val="7DF616B5"/>
    <w:rsid w:val="7FAEFEBA"/>
    <w:rsid w:val="7FCC4E51"/>
    <w:rsid w:val="B5FD43B9"/>
    <w:rsid w:val="B7FFC630"/>
    <w:rsid w:val="BC3B05E6"/>
    <w:rsid w:val="BFDF38F2"/>
    <w:rsid w:val="CF7FCBAD"/>
    <w:rsid w:val="D5FF9163"/>
    <w:rsid w:val="DFBFB7E8"/>
    <w:rsid w:val="F967F49F"/>
    <w:rsid w:val="F9D9EC38"/>
    <w:rsid w:val="FFEC0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unhideWhenUsed/>
    <w:qFormat/>
    <w:uiPriority w:val="99"/>
    <w:pPr>
      <w:tabs>
        <w:tab w:val="center" w:pos="4153"/>
        <w:tab w:val="right" w:pos="8306"/>
      </w:tabs>
    </w:pPr>
    <w:rPr>
      <w:sz w:val="18"/>
      <w:szCs w:val="18"/>
    </w:rPr>
  </w:style>
  <w:style w:type="paragraph" w:styleId="3">
    <w:name w:val="index 8"/>
    <w:basedOn w:val="1"/>
    <w:next w:val="1"/>
    <w:qFormat/>
    <w:uiPriority w:val="0"/>
    <w:pPr>
      <w:ind w:left="1400" w:leftChars="1400"/>
    </w:pPr>
  </w:style>
  <w:style w:type="paragraph" w:styleId="4">
    <w:name w:val="Body Text"/>
    <w:basedOn w:val="1"/>
    <w:qFormat/>
    <w:uiPriority w:val="0"/>
    <w:rPr>
      <w:rFonts w:ascii="仿宋" w:hAnsi="仿宋" w:eastAsia="仿宋" w:cs="仿宋"/>
      <w:sz w:val="36"/>
      <w:szCs w:val="36"/>
    </w:rPr>
  </w:style>
  <w:style w:type="paragraph" w:styleId="5">
    <w:name w:val="Plain Text"/>
    <w:basedOn w:val="1"/>
    <w:next w:val="3"/>
    <w:unhideWhenUsed/>
    <w:qFormat/>
    <w:uiPriority w:val="0"/>
    <w:rPr>
      <w:rFonts w:ascii="宋体" w:hAnsi="Courier New"/>
      <w:szCs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7">
    <w:name w:val="Subtitle"/>
    <w:basedOn w:val="1"/>
    <w:next w:val="1"/>
    <w:link w:val="1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8">
    <w:name w:val="Normal (Web)"/>
    <w:basedOn w:val="1"/>
    <w:qFormat/>
    <w:uiPriority w:val="0"/>
    <w:pPr>
      <w:spacing w:beforeAutospacing="1" w:afterAutospacing="1"/>
    </w:pPr>
    <w:rPr>
      <w:rFonts w:cs="Times New Roman"/>
      <w:sz w:val="24"/>
      <w:lang w:eastAsia="zh-CN"/>
    </w:rPr>
  </w:style>
  <w:style w:type="paragraph" w:styleId="9">
    <w:name w:val="Title"/>
    <w:basedOn w:val="1"/>
    <w:next w:val="1"/>
    <w:qFormat/>
    <w:uiPriority w:val="0"/>
    <w:pPr>
      <w:spacing w:line="560" w:lineRule="exact"/>
      <w:contextualSpacing/>
    </w:pPr>
    <w:rPr>
      <w:rFonts w:ascii="Inria Serif" w:hAnsi="Inria Serif" w:eastAsia="宋体" w:cs="Times New Roman (Headings CS)"/>
      <w:b/>
      <w:color w:val="0084AD"/>
      <w:spacing w:val="-10"/>
      <w:kern w:val="28"/>
      <w:sz w:val="50"/>
      <w:szCs w:val="56"/>
      <w:lang w:val="en-AU"/>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unhideWhenUsed/>
    <w:qFormat/>
    <w:uiPriority w:val="0"/>
  </w:style>
  <w:style w:type="paragraph" w:customStyle="1" w:styleId="14">
    <w:name w:val="_Style 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Table Text"/>
    <w:basedOn w:val="1"/>
    <w:semiHidden/>
    <w:qFormat/>
    <w:uiPriority w:val="0"/>
    <w:rPr>
      <w:rFonts w:ascii="宋体" w:hAnsi="宋体" w:eastAsia="宋体" w:cs="宋体"/>
      <w:sz w:val="27"/>
      <w:szCs w:val="27"/>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styleId="17">
    <w:name w:val="List Paragraph"/>
    <w:basedOn w:val="1"/>
    <w:unhideWhenUsed/>
    <w:qFormat/>
    <w:uiPriority w:val="99"/>
    <w:pPr>
      <w:ind w:firstLine="420" w:firstLineChars="200"/>
    </w:pPr>
  </w:style>
  <w:style w:type="character" w:customStyle="1" w:styleId="18">
    <w:name w:val="副标题 字符"/>
    <w:basedOn w:val="12"/>
    <w:link w:val="7"/>
    <w:qFormat/>
    <w:uiPriority w:val="11"/>
    <w:rPr>
      <w:rFonts w:asciiTheme="majorHAnsi" w:hAnsiTheme="majorHAnsi" w:eastAsiaTheme="majorEastAsia" w:cstheme="majorBidi"/>
      <w:snapToGrid w:val="0"/>
      <w:color w:val="595959" w:themeColor="text1" w:themeTint="A6"/>
      <w:spacing w:val="15"/>
      <w:sz w:val="28"/>
      <w:szCs w:val="28"/>
      <w:lang w:eastAsia="en-US"/>
      <w14:textFill>
        <w14:solidFill>
          <w14:schemeClr w14:val="tx1">
            <w14:lumMod w14:val="65000"/>
            <w14:lumOff w14:val="35000"/>
          </w14:schemeClr>
        </w14:solidFill>
      </w14:textFill>
    </w:rPr>
  </w:style>
  <w:style w:type="character" w:customStyle="1" w:styleId="19">
    <w:name w:val="页脚 字符"/>
    <w:basedOn w:val="12"/>
    <w:link w:val="2"/>
    <w:qFormat/>
    <w:uiPriority w:val="99"/>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文档" ma:contentTypeID="0x01010004ADA7DBB49A034B954210D08FA57C34" ma:contentTypeVersion="1" ma:contentTypeDescription="新建文档。" ma:contentTypeScope="" ma:versionID="775f5dea72e37e2580e53495189de935">
  <xsd:schema xmlns:xsd="http://www.w3.org/2001/XMLSchema" xmlns:xs="http://www.w3.org/2001/XMLSchema" xmlns:p="http://schemas.microsoft.com/office/2006/metadata/properties" xmlns:ns3="c85e7e41-ee2f-4887-8d2d-ca6db6bdf80f" targetNamespace="http://schemas.microsoft.com/office/2006/metadata/properties" ma:root="true" ma:fieldsID="8ceb051fe3bbf7927a9382ea7d00f238" ns3:_="">
    <xsd:import namespace="c85e7e41-ee2f-4887-8d2d-ca6db6bdf80f"/>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5e7e41-ee2f-4887-8d2d-ca6db6bdf80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57B533-6BEF-43C5-A1E9-392BF3F8D8EB}">
  <ds:schemaRefs/>
</ds:datastoreItem>
</file>

<file path=customXml/itemProps3.xml><?xml version="1.0" encoding="utf-8"?>
<ds:datastoreItem xmlns:ds="http://schemas.openxmlformats.org/officeDocument/2006/customXml" ds:itemID="{ED8647B5-FDA8-4AFD-AB98-6EE859B5C2CB}">
  <ds:schemaRefs/>
</ds:datastoreItem>
</file>

<file path=customXml/itemProps4.xml><?xml version="1.0" encoding="utf-8"?>
<ds:datastoreItem xmlns:ds="http://schemas.openxmlformats.org/officeDocument/2006/customXml" ds:itemID="{B4BEF9B1-AF3B-4464-BDF8-74FB2346B8A3}">
  <ds:schemaRefs/>
</ds:datastoreItem>
</file>

<file path=customXml/itemProps5.xml><?xml version="1.0" encoding="utf-8"?>
<ds:datastoreItem xmlns:ds="http://schemas.openxmlformats.org/officeDocument/2006/customXml" ds:itemID="{17CAB31B-5CD7-4E38-AE07-95722F3711F0}">
  <ds:schemaRefs/>
</ds:datastoreItem>
</file>

<file path=docProps/app.xml><?xml version="1.0" encoding="utf-8"?>
<Properties xmlns="http://schemas.openxmlformats.org/officeDocument/2006/extended-properties" xmlns:vt="http://schemas.openxmlformats.org/officeDocument/2006/docPropsVTypes">
  <Template>Normal</Template>
  <Company>YICT</Company>
  <Pages>16</Pages>
  <Words>2614</Words>
  <Characters>2750</Characters>
  <Lines>52</Lines>
  <Paragraphs>14</Paragraphs>
  <TotalTime>9</TotalTime>
  <ScaleCrop>false</ScaleCrop>
  <LinksUpToDate>false</LinksUpToDate>
  <CharactersWithSpaces>2759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2025-04-14T06:17:00Z</dcterms:created>
  <dc:creator>大曦</dc:creator>
  <cp:lastModifiedBy>昜昜昜</cp:lastModifiedBy>
  <cp:lastPrinted>2025-04-11T06:10:00Z</cp:lastPrinted>
  <dcterms:modified xsi:type="dcterms:W3CDTF">2025-04-30T01:35:19Z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830FA272DD194E9398D4D911CA9EAC16_13</vt:lpwstr>
  </property>
  <property fmtid="{D5CDD505-2E9C-101B-9397-08002B2CF9AE}" pid="4" name="ContentTypeId">
    <vt:lpwstr>0x01010004ADA7DBB49A034B954210D08FA57C34</vt:lpwstr>
  </property>
  <property fmtid="{D5CDD505-2E9C-101B-9397-08002B2CF9AE}" pid="5" name="KSOTemplateDocerSaveRecord">
    <vt:lpwstr>eyJoZGlkIjoiZjQ4YTc2MWFiYzZkODRmMzk2NDliY2YzZmU0NTAyMTQiLCJ1c2VySWQiOiI0Mjk3NzAyMjUifQ==</vt:lpwstr>
  </property>
</Properties>
</file>