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spacing w:line="520" w:lineRule="exact"/>
        <w:jc w:val="left"/>
        <w:textAlignment w:val="auto"/>
        <w:rPr>
          <w:rFonts w:hint="eastAsia"/>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附件</w:t>
      </w:r>
    </w:p>
    <w:p>
      <w:pPr>
        <w:pageBreakBefore w:val="0"/>
        <w:widowControl w:val="0"/>
        <w:kinsoku/>
        <w:wordWrap/>
        <w:overflowPunct/>
        <w:topLinePunct w:val="0"/>
        <w:autoSpaceDE/>
        <w:autoSpaceDN/>
        <w:bidi w:val="0"/>
        <w:spacing w:line="52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盐田区图书馆下沉广场和春天海图书馆整体</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修缮</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服务项目需求书</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一、项目基本情况</w:t>
      </w:r>
    </w:p>
    <w:p>
      <w:pPr>
        <w:pageBreakBefore w:val="0"/>
        <w:widowControl w:val="0"/>
        <w:kinsoku/>
        <w:wordWrap/>
        <w:overflowPunct/>
        <w:topLinePunct w:val="0"/>
        <w:autoSpaceDE/>
        <w:autoSpaceDN/>
        <w:bidi w:val="0"/>
        <w:spacing w:after="0" w:line="520" w:lineRule="exact"/>
        <w:ind w:firstLine="642" w:firstLineChars="200"/>
        <w:jc w:val="lef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项目名称：</w:t>
      </w:r>
      <w:r>
        <w:rPr>
          <w:rFonts w:hint="eastAsia" w:ascii="仿宋_GB2312" w:hAnsi="仿宋_GB2312" w:eastAsia="仿宋_GB2312" w:cs="仿宋_GB2312"/>
          <w:color w:val="000000" w:themeColor="text1"/>
          <w:sz w:val="32"/>
          <w:szCs w:val="32"/>
          <w14:textFill>
            <w14:solidFill>
              <w14:schemeClr w14:val="tx1"/>
            </w14:solidFill>
          </w14:textFill>
        </w:rPr>
        <w:t>盐田区图书馆下沉广场和春天海图书馆整体修缮服务项目</w:t>
      </w:r>
    </w:p>
    <w:p>
      <w:pPr>
        <w:pageBreakBefore w:val="0"/>
        <w:widowControl w:val="0"/>
        <w:kinsoku/>
        <w:wordWrap/>
        <w:overflowPunct/>
        <w:topLinePunct w:val="0"/>
        <w:autoSpaceDE/>
        <w:autoSpaceDN/>
        <w:bidi w:val="0"/>
        <w:spacing w:after="0" w:line="520" w:lineRule="exact"/>
        <w:ind w:firstLine="64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预算金额：</w:t>
      </w:r>
      <w:r>
        <w:rPr>
          <w:rFonts w:hint="eastAsia" w:ascii="仿宋_GB2312" w:hAnsi="仿宋_GB2312" w:eastAsia="仿宋_GB2312" w:cs="仿宋_GB2312"/>
          <w:color w:val="000000" w:themeColor="text1"/>
          <w:sz w:val="32"/>
          <w:szCs w:val="32"/>
          <w14:textFill>
            <w14:solidFill>
              <w14:schemeClr w14:val="tx1"/>
            </w14:solidFill>
          </w14:textFill>
        </w:rPr>
        <w:t>人民币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38</w:t>
      </w:r>
      <w:r>
        <w:rPr>
          <w:rFonts w:hint="eastAsia" w:ascii="仿宋_GB2312" w:hAnsi="仿宋_GB2312" w:eastAsia="仿宋_GB2312" w:cs="仿宋_GB2312"/>
          <w:color w:val="000000" w:themeColor="text1"/>
          <w:sz w:val="32"/>
          <w:szCs w:val="32"/>
          <w14:textFill>
            <w14:solidFill>
              <w14:schemeClr w14:val="tx1"/>
            </w14:solidFill>
          </w14:textFill>
        </w:rPr>
        <w:t>万元。</w:t>
      </w:r>
    </w:p>
    <w:p>
      <w:pPr>
        <w:pageBreakBefore w:val="0"/>
        <w:widowControl w:val="0"/>
        <w:kinsoku/>
        <w:wordWrap/>
        <w:overflowPunct/>
        <w:topLinePunct w:val="0"/>
        <w:autoSpaceDE/>
        <w:autoSpaceDN/>
        <w:bidi w:val="0"/>
        <w:spacing w:after="0" w:line="520" w:lineRule="exact"/>
        <w:ind w:firstLine="642"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项目需求：</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盐田区图书馆下沉广场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修缮</w:t>
      </w:r>
      <w:r>
        <w:rPr>
          <w:rFonts w:hint="eastAsia" w:ascii="仿宋_GB2312" w:hAnsi="仿宋_GB2312" w:eastAsia="仿宋_GB2312" w:cs="仿宋_GB2312"/>
          <w:color w:val="000000" w:themeColor="text1"/>
          <w:sz w:val="32"/>
          <w:szCs w:val="32"/>
          <w14:textFill>
            <w14:solidFill>
              <w14:schemeClr w14:val="tx1"/>
            </w14:solidFill>
          </w14:textFill>
        </w:rPr>
        <w:t>，包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括下沉广场台阶及部分附属设施的翻新改造等</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春天海图书馆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修缮，包括对</w:t>
      </w:r>
      <w:r>
        <w:rPr>
          <w:rFonts w:hint="eastAsia" w:ascii="仿宋_GB2312" w:hAnsi="仿宋_GB2312" w:eastAsia="仿宋_GB2312" w:cs="仿宋_GB2312"/>
          <w:color w:val="000000" w:themeColor="text1"/>
          <w:sz w:val="32"/>
          <w:szCs w:val="32"/>
          <w14:textFill>
            <w14:solidFill>
              <w14:schemeClr w14:val="tx1"/>
            </w14:solidFill>
          </w14:textFill>
        </w:rPr>
        <w:t>建筑本体及附属设施开展系统性防水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治理</w:t>
      </w:r>
      <w:r>
        <w:rPr>
          <w:rFonts w:hint="eastAsia" w:ascii="仿宋_GB2312" w:hAnsi="仿宋_GB2312" w:eastAsia="仿宋_GB2312" w:cs="仿宋_GB2312"/>
          <w:color w:val="000000" w:themeColor="text1"/>
          <w:sz w:val="32"/>
          <w:szCs w:val="32"/>
          <w14:textFill>
            <w14:solidFill>
              <w14:schemeClr w14:val="tx1"/>
            </w14:solidFill>
          </w14:textFill>
        </w:rPr>
        <w:t>，解决屋面渗漏、外墙渗水等问题，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同时对因渗漏对建筑物造成墙面损坏进行修缮，增强天台护栏安全性，</w:t>
      </w:r>
      <w:r>
        <w:rPr>
          <w:rFonts w:hint="eastAsia" w:ascii="仿宋_GB2312" w:hAnsi="仿宋_GB2312" w:eastAsia="仿宋_GB2312" w:cs="仿宋_GB2312"/>
          <w:color w:val="000000" w:themeColor="text1"/>
          <w:sz w:val="32"/>
          <w:szCs w:val="32"/>
          <w14:textFill>
            <w14:solidFill>
              <w14:schemeClr w14:val="tx1"/>
            </w14:solidFill>
          </w14:textFill>
        </w:rPr>
        <w:t>确保建筑物防水性能</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安全性能</w:t>
      </w:r>
      <w:r>
        <w:rPr>
          <w:rFonts w:hint="eastAsia" w:ascii="仿宋_GB2312" w:hAnsi="仿宋_GB2312" w:eastAsia="仿宋_GB2312" w:cs="仿宋_GB2312"/>
          <w:color w:val="000000" w:themeColor="text1"/>
          <w:sz w:val="32"/>
          <w:szCs w:val="32"/>
          <w14:textFill>
            <w14:solidFill>
              <w14:schemeClr w14:val="tx1"/>
            </w14:solidFill>
          </w14:textFill>
        </w:rPr>
        <w:t>符合国家标准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w:t>
      </w:r>
      <w:r>
        <w:rPr>
          <w:rFonts w:hint="eastAsia" w:ascii="仿宋_GB2312" w:hAnsi="仿宋_GB2312" w:eastAsia="仿宋_GB2312" w:cs="仿宋_GB2312"/>
          <w:color w:val="000000" w:themeColor="text1"/>
          <w:sz w:val="32"/>
          <w:szCs w:val="32"/>
          <w14:textFill>
            <w14:solidFill>
              <w14:schemeClr w14:val="tx1"/>
            </w14:solidFill>
          </w14:textFill>
        </w:rPr>
        <w:t>。</w:t>
      </w:r>
    </w:p>
    <w:p>
      <w:pPr>
        <w:pageBreakBefore w:val="0"/>
        <w:widowControl w:val="0"/>
        <w:kinsoku/>
        <w:wordWrap/>
        <w:overflowPunct/>
        <w:topLinePunct w:val="0"/>
        <w:autoSpaceDE/>
        <w:autoSpaceDN/>
        <w:bidi w:val="0"/>
        <w:spacing w:after="0" w:line="520" w:lineRule="exact"/>
        <w:ind w:firstLine="642" w:firstLineChars="200"/>
        <w:jc w:val="left"/>
        <w:textAlignment w:val="auto"/>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合同履行期限：</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自合同签订之日起60个自然日。</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本项目不接受联合体投标。</w:t>
      </w:r>
    </w:p>
    <w:p>
      <w:pPr>
        <w:keepNext/>
        <w:keepLines/>
        <w:pageBreakBefore w:val="0"/>
        <w:widowControl w:val="0"/>
        <w:kinsoku/>
        <w:wordWrap/>
        <w:overflowPunct/>
        <w:topLinePunct w:val="0"/>
        <w:autoSpaceDE/>
        <w:autoSpaceDN/>
        <w:bidi w:val="0"/>
        <w:spacing w:before="260" w:after="260" w:line="520" w:lineRule="exact"/>
        <w:ind w:firstLine="640" w:firstLineChars="200"/>
        <w:jc w:val="left"/>
        <w:textAlignment w:val="auto"/>
        <w:outlineLvl w:val="1"/>
        <w:rPr>
          <w:rFonts w:hint="eastAsia" w:ascii="黑体" w:hAnsi="宋体" w:eastAsia="黑体" w:cs="宋体"/>
          <w:bCs/>
          <w:color w:val="000000" w:themeColor="text1"/>
          <w:sz w:val="32"/>
          <w:szCs w:val="32"/>
          <w14:textFill>
            <w14:solidFill>
              <w14:schemeClr w14:val="tx1"/>
            </w14:solidFill>
          </w14:textFill>
        </w:rPr>
      </w:pPr>
      <w:r>
        <w:rPr>
          <w:rFonts w:hint="eastAsia" w:ascii="黑体" w:hAnsi="宋体" w:eastAsia="黑体" w:cs="宋体"/>
          <w:bCs/>
          <w:color w:val="000000" w:themeColor="text1"/>
          <w:kern w:val="2"/>
          <w:sz w:val="32"/>
          <w:szCs w:val="32"/>
          <w14:textFill>
            <w14:solidFill>
              <w14:schemeClr w14:val="tx1"/>
            </w14:solidFill>
          </w14:textFill>
        </w:rPr>
        <w:t>二、供应商的资格要求</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（一）符合《中华人民共和国政府采购法》第二十二条规定的资质要求（由供应商作出承诺声明）；</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（二）具有独立法人资格或具有独立承担民事责任的能力（提供营业执照或事业单位法人证等法人证明扫描件，原件备查）；</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（三）参与本项目政府采购活动时不存在被有关部门禁止参与政府采购活动且在有效期内的情况（由供应商作出承诺声明）；</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（四）未被列入失信被执行人、重大税收违法案件当事人名单、政府采购严重违法失信行为记录名单（由供应商作出承诺声明）；</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（五）不存在《深圳市财政局政府采购供应商信用信息管理办法》（深财规【2023】3号）列明的严重违法失信行为（由供应商作出承诺声明）；</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作出承诺声明）</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）具备建筑工程施工总承包二级及以上资质且具备防水防腐保温工程专业承包二级，或市政公用工程施工总承包二级及以上资质且具备防水防腐保温工程专业承包二级。</w:t>
      </w:r>
    </w:p>
    <w:p>
      <w:pPr>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三、服务要求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（一）施工范围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default"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下沉广场修缮工程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主要对下沉广场原老化松动的防腐木和下沉花岗岩石材地面进行更新，对部分可保留的防腐木地板进行翻新，同时对部分附属设施更新。施工范围主要包括：</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）拆除原防腐木及附属结构，包括台阶、花池、小舞台、爱读亭下地面等区域；拆除原花岗岩石材</w:t>
      </w:r>
      <w:r>
        <w:rPr>
          <w:rFonts w:hint="default"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包括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3条</w:t>
      </w:r>
      <w:r>
        <w:rPr>
          <w:rFonts w:hint="eastAsia" w:ascii="仿宋_GB2312" w:hAnsi="仿宋_GB2312" w:eastAsia="仿宋_GB2312" w:cs="仿宋_GB2312"/>
          <w:color w:val="000000" w:themeColor="text1"/>
          <w:sz w:val="32"/>
          <w:szCs w:val="32"/>
          <w:lang w:eastAsia="zh-CN"/>
          <w14:textFill>
            <w14:solidFill>
              <w14:schemeClr w14:val="tx1"/>
            </w14:solidFill>
          </w14:textFill>
        </w:rPr>
        <w:t>主通道台阶、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人造</w:t>
      </w:r>
      <w:r>
        <w:rPr>
          <w:rFonts w:hint="eastAsia" w:ascii="仿宋_GB2312" w:hAnsi="仿宋_GB2312" w:eastAsia="仿宋_GB2312" w:cs="仿宋_GB2312"/>
          <w:color w:val="000000" w:themeColor="text1"/>
          <w:sz w:val="32"/>
          <w:szCs w:val="32"/>
          <w:lang w:eastAsia="zh-CN"/>
          <w14:textFill>
            <w14:solidFill>
              <w14:schemeClr w14:val="tx1"/>
            </w14:solidFill>
          </w14:textFill>
        </w:rPr>
        <w:t>草皮平台等区域；</w:t>
      </w:r>
      <w:r>
        <w:rPr>
          <w:rFonts w:hint="eastAsia" w:ascii="仿宋_GB2312" w:hAnsi="仿宋_GB2312" w:eastAsia="仿宋_GB2312" w:cs="仿宋_GB2312"/>
          <w:color w:val="000000" w:themeColor="text1"/>
          <w:sz w:val="32"/>
          <w:szCs w:val="32"/>
          <w:lang w:eastAsia="zh-CN"/>
          <w14:textFill>
            <w14:solidFill>
              <w14:schemeClr w14:val="tx1"/>
            </w14:solidFill>
          </w14:textFill>
        </w:rPr>
        <w:t>拆除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2个花池并填埋硬化。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（2）大台阶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（含拆除的2个花池）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、小舞台、</w:t>
      </w:r>
      <w:r>
        <w:rPr>
          <w:rFonts w:hint="eastAsia" w:ascii="仿宋_GB2312" w:hAnsi="仿宋_GB2312" w:eastAsia="仿宋_GB2312" w:cs="仿宋_GB2312"/>
          <w:color w:val="000000" w:themeColor="text1"/>
          <w:sz w:val="32"/>
          <w:szCs w:val="32"/>
          <w:lang w:eastAsia="zh-CN"/>
          <w14:textFill>
            <w14:solidFill>
              <w14:schemeClr w14:val="tx1"/>
            </w14:solidFill>
          </w14:textFill>
        </w:rPr>
        <w:t>爱读亭下地面等区域更换为维卡木（新型耐久木塑复合材料）；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3条主通道、1个花池、原假草皮平台等更换为花岗岩石材。同时进行必要的基层修复、排水坡度调整。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）保留原大舞台、报刊亭附近花池防腐木主体，进行打磨、底漆+木蜡油翻新处理。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）拆除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3个原座椅，</w:t>
      </w:r>
      <w:r>
        <w:rPr>
          <w:rFonts w:hint="eastAsia" w:ascii="仿宋_GB2312" w:hAnsi="仿宋_GB2312" w:eastAsia="仿宋_GB2312" w:cs="仿宋_GB2312"/>
          <w:color w:val="000000" w:themeColor="text1"/>
          <w:sz w:val="32"/>
          <w:szCs w:val="32"/>
          <w:lang w:eastAsia="zh-CN"/>
          <w14:textFill>
            <w14:solidFill>
              <w14:schemeClr w14:val="tx1"/>
            </w14:solidFill>
          </w14:textFill>
        </w:rPr>
        <w:t>更换为成品座椅，对座椅周边墙体、地面等进行修复。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2.春天海图书馆修缮工程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主要对建筑进行系统的防水补漏治理，加强建筑排水性能，同时修复建筑内外墙面，提高建筑安全性。施工范围</w:t>
      </w:r>
      <w:r>
        <w:rPr>
          <w:rFonts w:hint="eastAsia" w:ascii="仿宋_GB2312" w:hAnsi="仿宋_GB2312" w:eastAsia="仿宋_GB2312" w:cs="仿宋_GB2312"/>
          <w:color w:val="000000" w:themeColor="text1"/>
          <w:sz w:val="32"/>
          <w:szCs w:val="32"/>
          <w:lang w:eastAsia="zh-CN"/>
          <w14:textFill>
            <w14:solidFill>
              <w14:schemeClr w14:val="tx1"/>
            </w14:solidFill>
          </w14:textFill>
        </w:rPr>
        <w:t>主要包括：</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）在</w:t>
      </w:r>
      <w:r>
        <w:rPr>
          <w:rFonts w:hint="eastAsia" w:ascii="仿宋_GB2312" w:hAnsi="仿宋_GB2312" w:eastAsia="仿宋_GB2312" w:cs="仿宋_GB2312"/>
          <w:color w:val="000000" w:themeColor="text1"/>
          <w:sz w:val="32"/>
          <w:szCs w:val="32"/>
          <w14:textFill>
            <w14:solidFill>
              <w14:schemeClr w14:val="tx1"/>
            </w14:solidFill>
          </w14:textFill>
        </w:rPr>
        <w:t>建筑物周边增加300宽排水沟</w:t>
      </w:r>
      <w:r>
        <w:rPr>
          <w:rFonts w:hint="eastAsia" w:ascii="仿宋_GB2312" w:hAnsi="仿宋_GB2312" w:eastAsia="仿宋_GB2312" w:cs="仿宋_GB2312"/>
          <w:color w:val="000000" w:themeColor="text1"/>
          <w:sz w:val="32"/>
          <w:szCs w:val="32"/>
          <w:lang w:eastAsia="zh-CN"/>
          <w14:textFill>
            <w14:solidFill>
              <w14:schemeClr w14:val="tx1"/>
            </w14:solidFill>
          </w14:textFill>
        </w:rPr>
        <w:t>，建好后对绿化进行恢复。</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）对</w:t>
      </w:r>
      <w:r>
        <w:rPr>
          <w:rFonts w:hint="eastAsia" w:ascii="仿宋_GB2312" w:hAnsi="仿宋_GB2312" w:eastAsia="仿宋_GB2312" w:cs="仿宋_GB2312"/>
          <w:color w:val="000000" w:themeColor="text1"/>
          <w:sz w:val="32"/>
          <w:szCs w:val="32"/>
          <w14:textFill>
            <w14:solidFill>
              <w14:schemeClr w14:val="tx1"/>
            </w14:solidFill>
          </w14:textFill>
        </w:rPr>
        <w:t>露台</w:t>
      </w:r>
      <w:r>
        <w:rPr>
          <w:rFonts w:hint="eastAsia" w:ascii="仿宋_GB2312" w:hAnsi="仿宋_GB2312" w:eastAsia="仿宋_GB2312" w:cs="仿宋_GB2312"/>
          <w:color w:val="000000" w:themeColor="text1"/>
          <w:sz w:val="32"/>
          <w:szCs w:val="32"/>
          <w:lang w:eastAsia="zh-CN"/>
          <w14:textFill>
            <w14:solidFill>
              <w14:schemeClr w14:val="tx1"/>
            </w14:solidFill>
          </w14:textFill>
        </w:rPr>
        <w:t>进行</w:t>
      </w:r>
      <w:r>
        <w:rPr>
          <w:rFonts w:hint="eastAsia" w:ascii="仿宋_GB2312" w:hAnsi="仿宋_GB2312" w:eastAsia="仿宋_GB2312" w:cs="仿宋_GB2312"/>
          <w:color w:val="000000" w:themeColor="text1"/>
          <w:sz w:val="32"/>
          <w:szCs w:val="32"/>
          <w14:textFill>
            <w14:solidFill>
              <w14:schemeClr w14:val="tx1"/>
            </w14:solidFill>
          </w14:textFill>
        </w:rPr>
        <w:t>防水治理</w:t>
      </w:r>
      <w:r>
        <w:rPr>
          <w:rFonts w:hint="eastAsia" w:ascii="仿宋_GB2312" w:hAnsi="仿宋_GB2312" w:eastAsia="仿宋_GB2312" w:cs="仿宋_GB2312"/>
          <w:color w:val="000000" w:themeColor="text1"/>
          <w:sz w:val="32"/>
          <w:szCs w:val="32"/>
          <w:lang w:eastAsia="zh-CN"/>
          <w14:textFill>
            <w14:solidFill>
              <w14:schemeClr w14:val="tx1"/>
            </w14:solidFill>
          </w14:textFill>
        </w:rPr>
        <w:t>，改造屋面</w:t>
      </w:r>
      <w:r>
        <w:rPr>
          <w:rFonts w:hint="eastAsia" w:ascii="仿宋_GB2312" w:hAnsi="仿宋_GB2312" w:eastAsia="仿宋_GB2312" w:cs="仿宋_GB2312"/>
          <w:color w:val="000000" w:themeColor="text1"/>
          <w:sz w:val="32"/>
          <w:szCs w:val="32"/>
          <w14:textFill>
            <w14:solidFill>
              <w14:schemeClr w14:val="tx1"/>
            </w14:solidFill>
          </w14:textFill>
        </w:rPr>
        <w:t>排水系统</w:t>
      </w:r>
      <w:r>
        <w:rPr>
          <w:rFonts w:hint="eastAsia" w:ascii="仿宋_GB2312" w:hAnsi="仿宋_GB2312" w:eastAsia="仿宋_GB2312" w:cs="仿宋_GB2312"/>
          <w:color w:val="000000" w:themeColor="text1"/>
          <w:sz w:val="32"/>
          <w:szCs w:val="32"/>
          <w:lang w:eastAsia="zh-CN"/>
          <w14:textFill>
            <w14:solidFill>
              <w14:schemeClr w14:val="tx1"/>
            </w14:solidFill>
          </w14:textFill>
        </w:rPr>
        <w:t>。包括开挖屋面及附属结构，重做防水，新增排水系统，回填屋面，覆盖假草皮等。</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（3）在露台重新设计安装玻璃护栏，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护栏沿露台边缘外扩。</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（4）对外墙接缝进行检查，必要时重新开挖打结构胶。</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（5）对墙面及附属结构进行修复。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（二）施工核心内容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1.下沉广场修缮工程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石材施工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拆除原防腐木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检查基层结构，清除松动部分，修复破损</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表面做防滑处理，六面刷石材保护液，台阶踏面石材需做磨边处理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按图纸弹线定位，确定石材铺装区域及标高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底层先进行找平放坡，湿润后铺干硬性水泥砂浆，石材背面刮胶泥（增强粘结）粘接。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（2）维卡木安装施工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拆除防腐木，检查基层结构，清除松动部分，修复破损；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为防止积水，先对原基础进行找平放坡，采用热镀锌钢龙骨（规格40x20x2.5mm），间距≤500mm，膨胀螺栓固定于混凝土基层，边角加防碰撞收边条。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（3）舞台防腐木翻新施工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大屏幕下</w:t>
      </w:r>
      <w:r>
        <w:rPr>
          <w:rFonts w:hint="eastAsia" w:ascii="仿宋_GB2312" w:hAnsi="仿宋_GB2312" w:eastAsia="仿宋_GB2312" w:cs="仿宋_GB2312"/>
          <w:color w:val="000000" w:themeColor="text1"/>
          <w:sz w:val="32"/>
          <w:szCs w:val="32"/>
          <w14:textFill>
            <w14:solidFill>
              <w14:schemeClr w14:val="tx1"/>
            </w14:solidFill>
          </w14:textFill>
        </w:rPr>
        <w:t xml:space="preserve">原大舞台防腐木打磨翻新，涂刷底漆+木蜡油。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木平台、花池侧立面重新喷涂耐候型氟碳漆。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（4）设施更新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将原座椅拆除，更换成品座椅3个（规格1500×450×400mm）。</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2.春天海图书馆修缮工程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（1）地面排水改造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清理建筑物周边地被植物，建筑物周边增设300mm宽排水沟（砖砌结构，内侧防水，铸铁盖板），排水坡度≥1%。</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原花池及外围水源导流至排水沟，避免基础浸泡。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（2）屋面及露台修缮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拆除原屋面隔热层、防水层至结构层，重做防水体系（含C25细石混凝土找坡、聚合物水泥涂膜、高分子自粘卷材等），恢复人工草坪面层。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新增不锈钢排水槽</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焊接固定，接排水管引至地面，铝合金包封并喷涂氟碳漆。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完成防水之后在露台铺设新假草皮。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（3）玻璃护栏改造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拆除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天台</w:t>
      </w:r>
      <w:r>
        <w:rPr>
          <w:rFonts w:hint="eastAsia" w:ascii="仿宋_GB2312" w:hAnsi="仿宋_GB2312" w:eastAsia="仿宋_GB2312" w:cs="仿宋_GB2312"/>
          <w:color w:val="000000" w:themeColor="text1"/>
          <w:sz w:val="32"/>
          <w:szCs w:val="32"/>
          <w14:textFill>
            <w14:solidFill>
              <w14:schemeClr w14:val="tx1"/>
            </w14:solidFill>
          </w14:textFill>
        </w:rPr>
        <w:t>原全玻璃护栏，新建1.2m高钢结构玻璃围栏（与屋面钢结构固定），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加固玻璃</w:t>
      </w:r>
      <w:r>
        <w:rPr>
          <w:rFonts w:hint="eastAsia" w:ascii="仿宋_GB2312" w:hAnsi="仿宋_GB2312" w:eastAsia="仿宋_GB2312" w:cs="仿宋_GB2312"/>
          <w:color w:val="000000" w:themeColor="text1"/>
          <w:sz w:val="32"/>
          <w:szCs w:val="32"/>
          <w14:textFill>
            <w14:solidFill>
              <w14:schemeClr w14:val="tx1"/>
            </w14:solidFill>
          </w14:textFill>
        </w:rPr>
        <w:t xml:space="preserve">增强安全防护。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（4）绿化恢复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地被植物拆除后外运（50KM弃置），完工后统一铺种草皮恢复周边绿化。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（5）墙面修复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清除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外墙接缝已</w:t>
      </w:r>
      <w:r>
        <w:rPr>
          <w:rFonts w:hint="eastAsia" w:ascii="仿宋_GB2312" w:hAnsi="仿宋_GB2312" w:eastAsia="仿宋_GB2312" w:cs="仿宋_GB2312"/>
          <w:color w:val="000000" w:themeColor="text1"/>
          <w:sz w:val="32"/>
          <w:szCs w:val="32"/>
          <w14:textFill>
            <w14:solidFill>
              <w14:schemeClr w14:val="tx1"/>
            </w14:solidFill>
          </w14:textFill>
        </w:rPr>
        <w:t>开裂的结构胶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及老化防水涂料，接缝用密封胶封闭；</w:t>
      </w:r>
      <w:r>
        <w:rPr>
          <w:rFonts w:hint="eastAsia" w:ascii="仿宋_GB2312" w:hAnsi="仿宋_GB2312" w:eastAsia="仿宋_GB2312" w:cs="仿宋_GB2312"/>
          <w:color w:val="000000" w:themeColor="text1"/>
          <w:sz w:val="32"/>
          <w:szCs w:val="32"/>
          <w14:textFill>
            <w14:solidFill>
              <w14:schemeClr w14:val="tx1"/>
            </w14:solidFill>
          </w14:textFill>
        </w:rPr>
        <w:t>铲除渗漏受损区域墙面涂料</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重做无机涂料</w:t>
      </w:r>
      <w:r>
        <w:rPr>
          <w:rFonts w:hint="eastAsia" w:ascii="仿宋_GB2312" w:hAnsi="仿宋_GB2312" w:eastAsia="仿宋_GB2312" w:cs="仿宋_GB2312"/>
          <w:color w:val="000000" w:themeColor="text1"/>
          <w:sz w:val="32"/>
          <w:szCs w:val="32"/>
          <w:lang w:eastAsia="zh-CN"/>
          <w14:textFill>
            <w14:solidFill>
              <w14:schemeClr w14:val="tx1"/>
            </w14:solidFill>
          </w14:textFill>
        </w:rPr>
        <w:t>；对明显生锈附属设施进行油漆修复等；以上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修后的颜色与原外观颜色无明显色差。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楷体" w:hAnsi="楷体" w:eastAsia="楷体" w:cs="楷体"/>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（三）技术要求与标准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1.主要</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材料要求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（1）下沉广场修缮工程材料要求：</w:t>
      </w:r>
    </w:p>
    <w:p>
      <w:pPr>
        <w:keepNext w:val="0"/>
        <w:keepLines w:val="0"/>
        <w:pageBreakBefore w:val="0"/>
        <w:widowControl w:val="0"/>
        <w:numPr>
          <w:ilvl w:val="0"/>
          <w:numId w:val="0"/>
        </w:numPr>
        <w:kinsoku/>
        <w:wordWrap/>
        <w:overflowPunct/>
        <w:topLinePunct w:val="0"/>
        <w:autoSpaceDE/>
        <w:autoSpaceDN/>
        <w:bidi w:val="0"/>
        <w:adjustRightInd w:val="0"/>
        <w:snapToGrid/>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石材：花岗岩，抗压强度≥60MPa，表面防滑处理，用于平台及台阶踏面的岩板厚度≥50mm，用于侧立面的岩板厚度≥20mm。</w:t>
      </w:r>
    </w:p>
    <w:p>
      <w:pPr>
        <w:keepNext w:val="0"/>
        <w:keepLines w:val="0"/>
        <w:pageBreakBefore w:val="0"/>
        <w:widowControl w:val="0"/>
        <w:numPr>
          <w:ilvl w:val="0"/>
          <w:numId w:val="0"/>
        </w:numPr>
        <w:kinsoku/>
        <w:wordWrap/>
        <w:overflowPunct/>
        <w:topLinePunct w:val="0"/>
        <w:autoSpaceDE/>
        <w:autoSpaceDN/>
        <w:bidi w:val="0"/>
        <w:adjustRightInd w:val="0"/>
        <w:snapToGrid/>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维卡木：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木塑复合材料，防火等级B1级，板材厚度≥30mm。</w:t>
      </w:r>
    </w:p>
    <w:p>
      <w:pPr>
        <w:keepNext w:val="0"/>
        <w:keepLines w:val="0"/>
        <w:pageBreakBefore w:val="0"/>
        <w:widowControl w:val="0"/>
        <w:numPr>
          <w:ilvl w:val="0"/>
          <w:numId w:val="0"/>
        </w:numPr>
        <w:kinsoku/>
        <w:wordWrap/>
        <w:overflowPunct/>
        <w:topLinePunct w:val="0"/>
        <w:autoSpaceDE/>
        <w:autoSpaceDN/>
        <w:bidi w:val="0"/>
        <w:adjustRightInd w:val="0"/>
        <w:snapToGrid/>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龙骨：镀锌方钢管，规格不低于40*20*2.5mm。</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（2）春天海图书馆修缮工程材料要求：</w:t>
      </w:r>
    </w:p>
    <w:p>
      <w:pPr>
        <w:keepNext w:val="0"/>
        <w:keepLines w:val="0"/>
        <w:pageBreakBefore w:val="0"/>
        <w:widowControl w:val="0"/>
        <w:numPr>
          <w:ilvl w:val="0"/>
          <w:numId w:val="0"/>
        </w:numPr>
        <w:kinsoku/>
        <w:wordWrap/>
        <w:overflowPunct/>
        <w:topLinePunct w:val="0"/>
        <w:autoSpaceDE/>
        <w:autoSpaceDN/>
        <w:bidi w:val="0"/>
        <w:adjustRightInd w:val="0"/>
        <w:snapToGrid/>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防水材料：高分子自粘橡胶复合防水卷材（提供合格证并抽样复检）。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密封胶：耐候性、弹性符合GB/T 14683标准。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涂料：无机涂料，符合环保及防火标准。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栏杆：不锈钢栏杆壁厚≥1.5mm，钢化加胶玻璃厚度不低于6+1.52pvb+6mm。</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2.施工工艺标准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2.1下沉广场修缮工程：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（1）石材铺装：基层清理→弹线定位→干硬性水泥砂浆找平→石材背面刮胶泥粘接→磨边处理→养护3天。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（2）维卡木安装：钢龙骨间距≤500mm，膨胀螺栓固定。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2.2春天海图书馆修缮工程：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（1）排水沟施工：砖砌结构，内侧防水层完整，坡度≥1%，与原散水衔接无渗漏。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（2）屋面防水层：基层处理剂涂刷均匀，细石混凝土找坡最薄处30mm，闭水试验24小时无渗漏。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（3）回填土：分层夯实，压实系数≥0.93。</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（4）涂料施工：基层平整度≤3mm/2m，涂刷两遍以上，无色差。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3.安全规范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玻璃护栏高度≥1.2m，玻璃间增设加固措施，符合《建筑防护栏杆技术标准》（GB/T 31439）。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4.验收标准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4.1下沉广场修缮工程：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石材铺装平整度误差≤2mm/2m，无空鼓；维卡木接缝均匀，无翘曲变形。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4.2春天海图书馆修缮工程：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执行《屋面工程质量验收规范》（GB 50207）、《建筑装饰装修工程质量验收标准》（GB 50210）。完工后需通过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24</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小时闭水试验，无渗漏。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楷体" w:hAnsi="楷体" w:eastAsia="楷体" w:cs="楷体"/>
          <w:b w:val="0"/>
          <w:bCs w:val="0"/>
          <w:color w:val="000000" w:themeColor="text1"/>
          <w:sz w:val="32"/>
          <w:szCs w:val="32"/>
          <w14:textFill>
            <w14:solidFill>
              <w14:schemeClr w14:val="tx1"/>
            </w14:solidFill>
          </w14:textFill>
        </w:rPr>
      </w:pPr>
      <w:r>
        <w:rPr>
          <w:rFonts w:hint="eastAsia" w:ascii="楷体" w:hAnsi="楷体" w:eastAsia="楷体" w:cs="楷体"/>
          <w:b w:val="0"/>
          <w:bCs w:val="0"/>
          <w:color w:val="000000" w:themeColor="text1"/>
          <w:sz w:val="32"/>
          <w:szCs w:val="32"/>
          <w14:textFill>
            <w14:solidFill>
              <w14:schemeClr w14:val="tx1"/>
            </w14:solidFill>
          </w14:textFill>
        </w:rPr>
        <w:t>（</w:t>
      </w:r>
      <w:r>
        <w:rPr>
          <w:rFonts w:hint="eastAsia" w:ascii="楷体" w:hAnsi="楷体" w:eastAsia="楷体" w:cs="楷体"/>
          <w:b w:val="0"/>
          <w:bCs w:val="0"/>
          <w:color w:val="000000" w:themeColor="text1"/>
          <w:sz w:val="32"/>
          <w:szCs w:val="32"/>
          <w:lang w:val="en-US" w:eastAsia="zh-CN"/>
          <w14:textFill>
            <w14:solidFill>
              <w14:schemeClr w14:val="tx1"/>
            </w14:solidFill>
          </w14:textFill>
        </w:rPr>
        <w:t>四</w:t>
      </w:r>
      <w:r>
        <w:rPr>
          <w:rFonts w:hint="eastAsia" w:ascii="楷体" w:hAnsi="楷体" w:eastAsia="楷体" w:cs="楷体"/>
          <w:b w:val="0"/>
          <w:bCs w:val="0"/>
          <w:color w:val="000000" w:themeColor="text1"/>
          <w:sz w:val="32"/>
          <w:szCs w:val="32"/>
          <w14:textFill>
            <w14:solidFill>
              <w14:schemeClr w14:val="tx1"/>
            </w14:solidFill>
          </w14:textFill>
        </w:rPr>
        <w:t>）总体要求</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1.安全措施：</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（1）施工期间设置安全围挡及警示标识；</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（2）高空作业人员需佩戴安全带，配备专职安全员；</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（3）施工现场配备灭火器材，严禁明火作业，材料堆放远离火源，切割作业设防尘罩；</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（4）施工用临时电源、水源，现场照明应做防护；</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（5）各种电器设备和电力施工机具的金属外壳、支架和底座按有关规定采用可靠接地零线或接地保护；</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（6）夜间施工设置警示灯，临时用电符合TN-S系统要求。</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2.环保要求：</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（1）建筑垃圾按深圳市规定分类清运；</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（2）施工噪声控制符合《建筑施工场界环境噪声排放标准》（GB 12523-2011）。</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3.进度要求：</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（1）关键节点（基层处理、闭水试验等）须提前3日通知甲方监督；</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（2）提交详细施工进度表，总工期不超过；  </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（3）因天气原因延误需书面报备，总工期60天，顺延不超过10天；</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（4）竣工后15日内提供完整施工记录、材料检测报告及竣工图。</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4.服务要求</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（1）施工人员需持有防水工职业资格证书或相关技能培训证书。</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（2）中标人必须遵守《劳动法》，合法用工，依法保障劳动者的合法权益，因工作期间发生的任何工伤赔偿由中标人负责。</w:t>
      </w:r>
    </w:p>
    <w:p>
      <w:pPr>
        <w:keepNext w:val="0"/>
        <w:keepLines w:val="0"/>
        <w:pageBreakBefore w:val="0"/>
        <w:widowControl w:val="0"/>
        <w:numPr>
          <w:ilvl w:val="0"/>
          <w:numId w:val="0"/>
        </w:numPr>
        <w:kinsoku/>
        <w:wordWrap/>
        <w:overflowPunct/>
        <w:topLinePunct w:val="0"/>
        <w:autoSpaceDE/>
        <w:autoSpaceDN/>
        <w:bidi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中标人不得擅自改动红线内所有房屋、管线、设备等的位置和用途，如确需改动应报采购人同意后执行。</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中标人不得将项目非法分包或转包给任何单位和个人。否则，采购人有权终止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r>
        <w:rPr>
          <w:rFonts w:hint="eastAsia" w:ascii="仿宋_GB2312" w:hAnsi="仿宋_GB2312" w:eastAsia="仿宋_GB2312" w:cs="仿宋_GB2312"/>
          <w:color w:val="000000" w:themeColor="text1"/>
          <w:sz w:val="32"/>
          <w:szCs w:val="32"/>
          <w14:textFill>
            <w14:solidFill>
              <w14:schemeClr w14:val="tx1"/>
            </w14:solidFill>
          </w14:textFill>
        </w:rPr>
        <w:t>合同，并要求中标人赔偿相应损失。</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因中标人管理失误或违法违规导致的水、电及其它各类费用赔偿及罚款由中标人承担；因中标人团队成员的重大失误、管理严重失职或违法违规造成严重及以上损失或造成严重及以上伤亡事故的，采购人有权终止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r>
        <w:rPr>
          <w:rFonts w:hint="eastAsia" w:ascii="仿宋_GB2312" w:hAnsi="仿宋_GB2312" w:eastAsia="仿宋_GB2312" w:cs="仿宋_GB2312"/>
          <w:color w:val="000000" w:themeColor="text1"/>
          <w:sz w:val="32"/>
          <w:szCs w:val="32"/>
          <w14:textFill>
            <w14:solidFill>
              <w14:schemeClr w14:val="tx1"/>
            </w14:solidFill>
          </w14:textFill>
        </w:rPr>
        <w:t>合同并追究中标人的相关法律责任，各类赔偿、罚款、损失及事故程度的裁定以相关法律部门裁定结果为准。</w:t>
      </w:r>
    </w:p>
    <w:p>
      <w:pPr>
        <w:keepNext w:val="0"/>
        <w:keepLines w:val="0"/>
        <w:pageBreakBefore w:val="0"/>
        <w:widowControl w:val="0"/>
        <w:kinsoku/>
        <w:wordWrap/>
        <w:overflowPunct/>
        <w:topLinePunct w:val="0"/>
        <w:autoSpaceDE/>
        <w:autoSpaceDN/>
        <w:bidi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在合同执行期间，中标人须接受市行业主管部门的指导，并按招标要求和合同要求接受采购人的监管。</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四、质量保证与验收</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 xml:space="preserve">（一）质保期 </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本项目中的防水工程部分质保期为5年，自项目竣工验收合格之日起计算。质保期内，施工方需对防水工程提供全周期质量保障，期间因施工质量或材料缺陷导致的渗漏问题，由施工方承担全部维修责任（包括材料更换、施工修复等），相关费用由施工方无条件承担。</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2.本项目除防水工程外的其他项目质保期为5年，自项目竣工验收合格之日起计算。 </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在质保期的前两年，供应商需对修缮工程提供全方位的质量保障服务。包括但不限于材料质量问题、施工工艺问题导致的损坏或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滲漏</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等，供应商应负责无偿维修、更换材料、重新施工等工作，所产生的全部费用由供应商承担。</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在质保期的后三年，若出现质量问题，甲方（盐田区图书馆）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可</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承担材料费用，供应商负责免费的施工、更换、维修等服务，确保工程质量恢复到合格标准。</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 xml:space="preserve">（二）验收流程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1.分阶段验收：在每个主要施工节点（如基层处理、防水层施工、闭水试验等）进行阶段验收，验收内容包括但不限于：</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（1）施工工艺是否符合技术要求；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（2）材料质量检测报告是否合格；</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（3）工程进度是否符合计划；</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（4）涉及合同约定的专项审计（如隐蔽工程签证变更审计、专项资金使用审计），施工方应同步提交由第三方审计机构出具的阶段性单项审计报告，作为验收通过的必要文件。</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施工单位应提前7天通知甲方及相关监管部门（如有）进行验收，验收合格后方可进行下一道工序。</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2.竣工验收准备：施工单位应在竣工后【7】日内向甲方提交以下材料：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（1）完整竣工图纸及设计变更记录；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（2）材料检测报告、合格证及进场验收记录；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（3）施工过程记录（含隐蔽工程影像资料）；</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（4）第三方审计机构出具的工程结算审计报告及合同约定的其他专项审计报告（如环保验收审计、安全措施费用审计等）。</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3.竣工验收程序：甲方组织相关部门（如审计机构、监理单位等）组成验收小组，展开竣工验收。验收小组职责包括：</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（1）核查工程实体质量与设计文件的符合性；</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（2）审查施工资料及检测报告的完整性；</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（3）审核审计报告结论，确认工程结算金额、专项资金使用等符合合同约定及法律法规；</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（4）出具最终验收报告。</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4.验收结果处理：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（1）若审计报告指出存在结算争议、资金挪用或质量隐患等问题，施工单位应按审计意见在【7】日内完成整改，并重新提交整改证据及补充审计报告；</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（2）如验收合格后，各方签字确认；如存在问题，施工单位应按照验收小</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组提出的整改意见在规定时间内完成整改，整改完成后再次申请验收，直至通过。</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售后服务</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在质保期内，供应商应建立定期回访制度，至少每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个月对项目进行一次回访，检查工程质量情况，及时发现并解决潜在问题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对于甲方在质保期内反馈的问题，供应商应在接到通知后的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小时内做出响应，</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小时内到达现场（特殊情况除外，但应明确说明最长响应时间），及时处理问题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在质保期外，供应商应继续为甲方提供技术咨询服务，甲方如有维修或改造需求，供应商应在合理价格范围内优先为甲方提供服务。</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服务费用说明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（一）报价要求</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按工程量清单单价报价，含材料、机械、税费等全费用，分项列明（示例：卷材单价、注浆单价等）。</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（二）付款方式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分期付款。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（三）变更费用</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一价全包，核算超出的部分由项目中标方自理；核算减少的部分按减少工程量×投标单价结算，需双方书面确认。</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附则</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1.中标人需为施工人员购买工伤保险，提供防水工职业资格证书。</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2.本需求书未尽事宜，按《建设工程施工合同（示范文本）》（GF-2017-0201）执行。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52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本需求书需与招标文件、施工图纸、工程量清单配套使用，具有同等法律效力。</w:t>
      </w: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eBxdMAIAAGM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hMmzLGz1zvIIHeXxdnUMkLNTOYrSK4HuxA1mr+vT8E7icP+576Ie/w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LNJWO7QAAAABQEAAA8AAAAAAAAAAQAgAAAAOAAAAGRy&#10;cy9kb3ducmV2LnhtbFBLAQIUABQAAAAIAIdO4kBQeBxdMAIAAGMEAAAOAAAAAAAAAAEAIAAAADUB&#10;AABkcnMvZTJvRG9jLnhtbFBLBQYAAAAABgAGAFkBAADX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BF2174"/>
    <w:multiLevelType w:val="singleLevel"/>
    <w:tmpl w:val="EDBF217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AA56C3"/>
    <w:rsid w:val="11A73BDF"/>
    <w:rsid w:val="14A0647F"/>
    <w:rsid w:val="153176B8"/>
    <w:rsid w:val="18030F48"/>
    <w:rsid w:val="1824439E"/>
    <w:rsid w:val="234846F0"/>
    <w:rsid w:val="2F47196D"/>
    <w:rsid w:val="3DFECBDD"/>
    <w:rsid w:val="3FFC8045"/>
    <w:rsid w:val="448E5181"/>
    <w:rsid w:val="5328361D"/>
    <w:rsid w:val="56176D52"/>
    <w:rsid w:val="5F6BB5CF"/>
    <w:rsid w:val="64A8213F"/>
    <w:rsid w:val="6EA70BE1"/>
    <w:rsid w:val="6F5FF4BD"/>
    <w:rsid w:val="75678ED4"/>
    <w:rsid w:val="7EAA2BFB"/>
    <w:rsid w:val="7EBE17F6"/>
    <w:rsid w:val="7EF3687D"/>
    <w:rsid w:val="7F2F0309"/>
    <w:rsid w:val="7FEF9013"/>
    <w:rsid w:val="AEF45451"/>
    <w:rsid w:val="AFFF03E8"/>
    <w:rsid w:val="BDD3351F"/>
    <w:rsid w:val="BFB3ED8D"/>
    <w:rsid w:val="BFDF5CB1"/>
    <w:rsid w:val="DABF562A"/>
    <w:rsid w:val="E77DFAC1"/>
    <w:rsid w:val="EEE68E7D"/>
    <w:rsid w:val="EFEF75E4"/>
    <w:rsid w:val="FA38CACD"/>
    <w:rsid w:val="FBEFFFE9"/>
    <w:rsid w:val="FDDE2032"/>
    <w:rsid w:val="FFCB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ind w:left="340"/>
    </w:pPr>
    <w:rPr>
      <w:rFonts w:ascii="仿宋" w:hAnsi="仿宋" w:eastAsia="仿宋" w:cs="仿宋"/>
      <w:sz w:val="28"/>
      <w:szCs w:val="28"/>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2"/>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4736</Words>
  <Characters>4911</Characters>
  <Lines>0</Lines>
  <Paragraphs>0</Paragraphs>
  <TotalTime>18</TotalTime>
  <ScaleCrop>false</ScaleCrop>
  <LinksUpToDate>false</LinksUpToDate>
  <CharactersWithSpaces>4939</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2312332</dc:creator>
  <cp:lastModifiedBy>yt</cp:lastModifiedBy>
  <cp:lastPrinted>2025-04-28T22:00:00Z</cp:lastPrinted>
  <dcterms:modified xsi:type="dcterms:W3CDTF">2025-04-29T16:29:21Z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EBCAE34AC6614A7B87FFDC2950AA2F6E</vt:lpwstr>
  </property>
  <property fmtid="{D5CDD505-2E9C-101B-9397-08002B2CF9AE}" pid="4" name="KSOTemplateDocerSaveRecord">
    <vt:lpwstr>eyJoZGlkIjoiMjZhMjE4NjlmODRkZmI1YjJjMTJhOTg3MzNhYTM4NDQiLCJ1c2VySWQiOiI1MzQ0MjE3OTAifQ==</vt:lpwstr>
  </property>
</Properties>
</file>