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rPr>
      </w:pPr>
      <w:bookmarkStart w:id="0" w:name="_GoBack"/>
      <w:bookmarkEnd w:id="0"/>
      <w:r>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t>《</w:t>
      </w:r>
      <w:r>
        <w:rPr>
          <w:rFonts w:hint="eastAsia" w:ascii="方正小标宋简体" w:hAnsi="方正小标宋简体" w:eastAsia="方正小标宋简体" w:cs="方正小标宋简体"/>
          <w:b w:val="0"/>
          <w:bCs/>
          <w:i w:val="0"/>
          <w:caps w:val="0"/>
          <w:color w:val="333333"/>
          <w:spacing w:val="0"/>
          <w:sz w:val="44"/>
          <w:szCs w:val="44"/>
          <w:shd w:val="clear" w:fill="FFFFFF"/>
        </w:rPr>
        <w:t>盐田区行政规范性文件管理规定</w:t>
      </w:r>
      <w:r>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t>（修订征求意见稿）》修订说明</w:t>
      </w:r>
    </w:p>
    <w:p>
      <w:pPr>
        <w:spacing w:line="560" w:lineRule="exact"/>
        <w:ind w:firstLine="640" w:firstLineChars="200"/>
        <w:contextualSpacing/>
        <w:rPr>
          <w:rFonts w:hint="eastAsia" w:ascii="仿宋_GB2312" w:eastAsia="仿宋_GB2312"/>
          <w:sz w:val="32"/>
          <w:szCs w:val="32"/>
        </w:rPr>
      </w:pPr>
    </w:p>
    <w:p>
      <w:pPr>
        <w:spacing w:line="560" w:lineRule="exact"/>
        <w:ind w:firstLine="640" w:firstLineChars="200"/>
        <w:contextualSpacing/>
        <w:rPr>
          <w:rFonts w:hint="eastAsia" w:ascii="仿宋_GB2312" w:hAnsi="Times New Roman" w:eastAsia="仿宋_GB2312" w:cs="Times New Roman"/>
          <w:sz w:val="32"/>
          <w:szCs w:val="32"/>
        </w:rPr>
      </w:pPr>
      <w:r>
        <w:rPr>
          <w:rFonts w:hint="eastAsia" w:ascii="仿宋_GB2312" w:eastAsia="仿宋_GB2312"/>
          <w:sz w:val="32"/>
          <w:szCs w:val="32"/>
        </w:rPr>
        <w:t>为加强我区行政规范性文件的管理，根据</w:t>
      </w:r>
      <w:r>
        <w:rPr>
          <w:rFonts w:hint="eastAsia" w:ascii="仿宋_GB2312" w:eastAsia="仿宋_GB2312"/>
          <w:sz w:val="32"/>
          <w:szCs w:val="32"/>
          <w:lang w:val="en" w:eastAsia="zh-CN"/>
        </w:rPr>
        <w:t>根据《广东省行政规范性文件管理规定》（广东省人民政府令第310号）《深圳市行政机关规范性文件管理规定》（深圳市人民政府令305号）等有关规定,结合我区实际</w:t>
      </w:r>
      <w:r>
        <w:rPr>
          <w:rFonts w:hint="eastAsia" w:ascii="仿宋_GB2312" w:eastAsia="仿宋_GB2312"/>
          <w:sz w:val="32"/>
          <w:szCs w:val="32"/>
        </w:rPr>
        <w:t>，修订</w:t>
      </w:r>
      <w:r>
        <w:rPr>
          <w:rFonts w:hint="eastAsia" w:ascii="仿宋_GB2312" w:eastAsia="仿宋_GB2312"/>
          <w:sz w:val="32"/>
          <w:szCs w:val="32"/>
          <w:lang w:eastAsia="zh-CN"/>
        </w:rPr>
        <w:t>《</w:t>
      </w:r>
      <w:r>
        <w:rPr>
          <w:rFonts w:hint="eastAsia" w:ascii="仿宋_GB2312" w:eastAsia="仿宋_GB2312"/>
          <w:sz w:val="32"/>
          <w:szCs w:val="32"/>
        </w:rPr>
        <w:t>盐田区行政规范性文件管理规定</w:t>
      </w:r>
      <w:r>
        <w:rPr>
          <w:rFonts w:hint="eastAsia" w:ascii="仿宋_GB2312" w:hAnsi="Times New Roman" w:eastAsia="仿宋_GB2312" w:cs="Times New Roman"/>
          <w:sz w:val="32"/>
          <w:szCs w:val="32"/>
        </w:rPr>
        <w:t>》。现就有关情况作简要说明：</w:t>
      </w:r>
    </w:p>
    <w:p>
      <w:pPr>
        <w:spacing w:line="560" w:lineRule="exact"/>
        <w:ind w:firstLine="640" w:firstLineChars="200"/>
        <w:contextualSpacing/>
        <w:rPr>
          <w:rFonts w:ascii="黑体" w:hAnsi="黑体" w:eastAsia="黑体" w:cs="黑体"/>
          <w:sz w:val="32"/>
          <w:szCs w:val="32"/>
        </w:rPr>
      </w:pPr>
      <w:r>
        <w:rPr>
          <w:rFonts w:hint="eastAsia" w:ascii="黑体" w:hAnsi="黑体" w:eastAsia="黑体" w:cs="黑体"/>
          <w:sz w:val="32"/>
          <w:szCs w:val="32"/>
        </w:rPr>
        <w:t>一、修订《规定》的背景</w:t>
      </w:r>
    </w:p>
    <w:p>
      <w:pPr>
        <w:spacing w:line="560" w:lineRule="exact"/>
        <w:ind w:firstLine="640" w:firstLineChars="200"/>
        <w:contextualSpacing/>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rPr>
        <w:t>《盐田区行政规范性文件管理规定》（以下简称原《规定》）自20</w:t>
      </w:r>
      <w:r>
        <w:rPr>
          <w:rFonts w:hint="eastAsia" w:ascii="仿宋_GB2312" w:hAnsi="Times New Roman" w:eastAsia="仿宋_GB2312" w:cs="Times New Roman"/>
          <w:sz w:val="32"/>
          <w:szCs w:val="32"/>
          <w:lang w:val="en-US" w:eastAsia="zh-CN"/>
        </w:rPr>
        <w:t>19</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11</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26</w:t>
      </w:r>
      <w:r>
        <w:rPr>
          <w:rFonts w:hint="eastAsia" w:ascii="仿宋_GB2312" w:hAnsi="Times New Roman" w:eastAsia="仿宋_GB2312" w:cs="Times New Roman"/>
          <w:sz w:val="32"/>
          <w:szCs w:val="32"/>
        </w:rPr>
        <w:t>日实施以来，对加强我</w:t>
      </w:r>
      <w:r>
        <w:rPr>
          <w:rFonts w:hint="eastAsia" w:ascii="仿宋_GB2312" w:hAnsi="Times New Roman" w:eastAsia="仿宋_GB2312" w:cs="Times New Roman"/>
          <w:sz w:val="32"/>
          <w:szCs w:val="32"/>
          <w:lang w:eastAsia="zh-CN"/>
        </w:rPr>
        <w:t>区</w:t>
      </w:r>
      <w:r>
        <w:rPr>
          <w:rFonts w:hint="eastAsia" w:ascii="仿宋_GB2312" w:hAnsi="Times New Roman" w:eastAsia="仿宋_GB2312" w:cs="Times New Roman"/>
          <w:sz w:val="32"/>
          <w:szCs w:val="32"/>
        </w:rPr>
        <w:t>行政规范性文件监督管理工作发挥了积极作用。但随着工作深入发展以及形势的变化，原《规定》部分内容已经难以适应当前工作需要，亟需调整和完善。修订原《规定》必要性在于：一是贯彻落实国家、省、市有关规范性文件管理意见的客观要求。如</w:t>
      </w:r>
      <w:r>
        <w:rPr>
          <w:rFonts w:hint="eastAsia" w:ascii="仿宋_GB2312" w:hAnsi="Times New Roman" w:eastAsia="仿宋_GB2312" w:cs="Times New Roman"/>
          <w:sz w:val="32"/>
          <w:szCs w:val="32"/>
          <w:lang w:eastAsia="zh-CN"/>
        </w:rPr>
        <w:t>广东省政府</w:t>
      </w:r>
      <w:r>
        <w:rPr>
          <w:rFonts w:hint="eastAsia" w:ascii="仿宋_GB2312" w:hAnsi="Times New Roman" w:eastAsia="仿宋_GB2312" w:cs="Times New Roman"/>
          <w:sz w:val="32"/>
          <w:szCs w:val="32"/>
          <w:lang w:val="en-US" w:eastAsia="zh-CN"/>
        </w:rPr>
        <w:t>2024年1月印发了</w:t>
      </w:r>
      <w:r>
        <w:rPr>
          <w:rFonts w:hint="eastAsia" w:ascii="仿宋_GB2312" w:hAnsi="Times New Roman" w:eastAsia="仿宋_GB2312" w:cs="Times New Roman"/>
          <w:sz w:val="32"/>
          <w:szCs w:val="32"/>
          <w:lang w:eastAsia="zh-CN"/>
        </w:rPr>
        <w:t>《广东省行政规范性文件管理规定》，进一步细化规范性文件制发程序并对规范性文件管理提出新要求。二是完善我区行政规范性文件监督管理制度的需要。原《规定》侧重规定了政府规范性文件制发普通程序，缺乏关于行政规范性文件延期以及发布程序的细化规定。</w:t>
      </w:r>
    </w:p>
    <w:p>
      <w:pPr>
        <w:spacing w:line="560" w:lineRule="exact"/>
        <w:ind w:firstLine="640" w:firstLineChars="200"/>
        <w:contextualSpacing/>
        <w:rPr>
          <w:rFonts w:hint="eastAsia" w:ascii="经典黑体简" w:hAnsi="经典黑体简" w:eastAsia="经典黑体简" w:cs="经典黑体简"/>
          <w:sz w:val="32"/>
          <w:szCs w:val="32"/>
          <w:lang w:eastAsia="zh-CN"/>
        </w:rPr>
      </w:pPr>
      <w:r>
        <w:rPr>
          <w:rFonts w:hint="eastAsia" w:ascii="经典黑体简" w:hAnsi="经典黑体简" w:eastAsia="经典黑体简" w:cs="经典黑体简"/>
          <w:sz w:val="32"/>
          <w:szCs w:val="32"/>
          <w:lang w:eastAsia="zh-CN"/>
        </w:rPr>
        <w:t>二、修订依据</w:t>
      </w:r>
    </w:p>
    <w:p>
      <w:pPr>
        <w:spacing w:line="560" w:lineRule="exact"/>
        <w:ind w:firstLine="640" w:firstLineChars="200"/>
        <w:contextualSpacing/>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1.《优化营商环境条例》；</w:t>
      </w:r>
    </w:p>
    <w:p>
      <w:pPr>
        <w:spacing w:line="560" w:lineRule="exact"/>
        <w:ind w:firstLine="640" w:firstLineChars="200"/>
        <w:contextualSpacing/>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2.《广东省行政规范性文件管理规定》；</w:t>
      </w:r>
    </w:p>
    <w:p>
      <w:pPr>
        <w:spacing w:line="560" w:lineRule="exact"/>
        <w:ind w:firstLine="640" w:firstLineChars="200"/>
        <w:contextualSpacing/>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3.《深圳市行政机关规范性文件管理规定》。</w:t>
      </w:r>
    </w:p>
    <w:p>
      <w:pPr>
        <w:spacing w:line="560" w:lineRule="exact"/>
        <w:ind w:firstLine="640" w:firstLineChars="200"/>
        <w:contextualSpacing/>
        <w:rPr>
          <w:rFonts w:hint="eastAsia" w:ascii="黑体" w:hAnsi="黑体" w:eastAsia="黑体" w:cs="黑体"/>
          <w:sz w:val="32"/>
          <w:szCs w:val="32"/>
          <w:lang w:eastAsia="zh-CN"/>
        </w:rPr>
      </w:pPr>
      <w:r>
        <w:rPr>
          <w:rFonts w:hint="eastAsia" w:ascii="黑体" w:hAnsi="黑体" w:eastAsia="黑体" w:cs="黑体"/>
          <w:sz w:val="32"/>
          <w:szCs w:val="32"/>
          <w:lang w:eastAsia="zh-CN"/>
        </w:rPr>
        <w:t>三、目标任务</w:t>
      </w:r>
    </w:p>
    <w:p>
      <w:pPr>
        <w:spacing w:line="560" w:lineRule="exact"/>
        <w:ind w:firstLine="640" w:firstLineChars="200"/>
        <w:contextualSpacing/>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《规定》的主要目标是加强我区规范性文件的监督管理，明确规范性文件的制定主体、制定程序和部门职责，提高规范性文件的制定质量，营造良好法治环境，促进依法行政。</w:t>
      </w:r>
    </w:p>
    <w:p>
      <w:pPr>
        <w:spacing w:line="560" w:lineRule="exact"/>
        <w:ind w:firstLine="640" w:firstLineChars="200"/>
        <w:contextualSpacing/>
        <w:rPr>
          <w:rFonts w:hint="eastAsia" w:ascii="仿宋_GB2312" w:hAnsi="Times New Roman" w:eastAsia="仿宋_GB2312" w:cs="Times New Roman"/>
          <w:sz w:val="32"/>
          <w:szCs w:val="32"/>
          <w:lang w:eastAsia="zh-CN"/>
        </w:rPr>
      </w:pPr>
      <w:r>
        <w:rPr>
          <w:rFonts w:hint="eastAsia" w:ascii="黑体" w:hAnsi="黑体" w:eastAsia="黑体" w:cs="黑体"/>
          <w:sz w:val="32"/>
          <w:szCs w:val="32"/>
          <w:lang w:eastAsia="zh-CN"/>
        </w:rPr>
        <w:t>四</w:t>
      </w:r>
      <w:r>
        <w:rPr>
          <w:rFonts w:hint="eastAsia" w:ascii="黑体" w:hAnsi="黑体" w:eastAsia="黑体" w:cs="黑体"/>
          <w:sz w:val="32"/>
          <w:szCs w:val="32"/>
        </w:rPr>
        <w:t>、《规定》的主内容</w:t>
      </w:r>
    </w:p>
    <w:p>
      <w:pPr>
        <w:spacing w:line="560" w:lineRule="exact"/>
        <w:ind w:firstLine="640" w:firstLineChars="200"/>
        <w:contextualSpacing/>
        <w:rPr>
          <w:rFonts w:ascii="仿宋_GB2312" w:eastAsia="仿宋_GB2312"/>
          <w:sz w:val="32"/>
          <w:szCs w:val="32"/>
        </w:rPr>
      </w:pPr>
      <w:r>
        <w:rPr>
          <w:rFonts w:hint="eastAsia" w:ascii="仿宋_GB2312" w:hAnsi="Times New Roman" w:eastAsia="仿宋_GB2312" w:cs="Times New Roman"/>
          <w:sz w:val="32"/>
          <w:szCs w:val="32"/>
        </w:rPr>
        <w:t>《规定》共</w:t>
      </w:r>
      <w:r>
        <w:rPr>
          <w:rFonts w:hint="eastAsia" w:ascii="仿宋_GB2312" w:hAnsi="Times New Roman" w:eastAsia="仿宋_GB2312" w:cs="Times New Roman"/>
          <w:sz w:val="32"/>
          <w:szCs w:val="32"/>
          <w:lang w:eastAsia="zh-CN"/>
        </w:rPr>
        <w:t>九</w:t>
      </w:r>
      <w:r>
        <w:rPr>
          <w:rFonts w:hint="eastAsia" w:ascii="仿宋_GB2312" w:hAnsi="Times New Roman" w:eastAsia="仿宋_GB2312" w:cs="Times New Roman"/>
          <w:sz w:val="32"/>
          <w:szCs w:val="32"/>
        </w:rPr>
        <w:t>章</w:t>
      </w:r>
      <w:r>
        <w:rPr>
          <w:rFonts w:hint="eastAsia" w:ascii="仿宋_GB2312" w:hAnsi="Times New Roman" w:eastAsia="仿宋_GB2312" w:cs="Times New Roman"/>
          <w:sz w:val="32"/>
          <w:szCs w:val="32"/>
          <w:lang w:eastAsia="zh-CN"/>
        </w:rPr>
        <w:t>五十六</w:t>
      </w:r>
      <w:r>
        <w:rPr>
          <w:rFonts w:hint="eastAsia" w:ascii="仿宋_GB2312" w:hAnsi="Times New Roman" w:eastAsia="仿宋_GB2312" w:cs="Times New Roman"/>
          <w:sz w:val="32"/>
          <w:szCs w:val="32"/>
        </w:rPr>
        <w:t>条，对比原《规定》</w:t>
      </w:r>
      <w:r>
        <w:rPr>
          <w:rFonts w:hint="eastAsia" w:ascii="仿宋_GB2312" w:eastAsia="仿宋_GB2312"/>
          <w:sz w:val="32"/>
          <w:szCs w:val="32"/>
        </w:rPr>
        <w:t>（深盐府办规〔2019〕8号），主要增加和修改内容如下：</w:t>
      </w:r>
    </w:p>
    <w:p>
      <w:pPr>
        <w:widowControl/>
        <w:numPr>
          <w:ilvl w:val="0"/>
          <w:numId w:val="1"/>
        </w:numPr>
        <w:spacing w:line="560" w:lineRule="exact"/>
        <w:ind w:firstLine="640" w:firstLineChars="200"/>
        <w:contextualSpacing/>
        <w:jc w:val="left"/>
        <w:rPr>
          <w:rFonts w:hint="eastAsia" w:ascii="楷体_GB2312" w:eastAsia="楷体_GB2312"/>
          <w:sz w:val="32"/>
          <w:szCs w:val="32"/>
        </w:rPr>
      </w:pPr>
      <w:r>
        <w:rPr>
          <w:rFonts w:hint="eastAsia" w:ascii="楷体_GB2312" w:eastAsia="楷体_GB2312"/>
          <w:sz w:val="32"/>
          <w:szCs w:val="32"/>
        </w:rPr>
        <w:t>提升了公众参与程度</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szCs w:val="32"/>
          <w:highlight w:val="none"/>
          <w:lang w:eastAsia="zh-CN"/>
        </w:rPr>
      </w:pPr>
      <w:r>
        <w:rPr>
          <w:rFonts w:hint="eastAsia" w:ascii="仿宋_GB2312" w:hAnsi="宋体" w:eastAsia="仿宋_GB2312"/>
          <w:color w:val="auto"/>
          <w:sz w:val="32"/>
          <w:szCs w:val="32"/>
          <w:highlight w:val="none"/>
          <w:lang w:eastAsia="zh-CN"/>
        </w:rPr>
        <w:t>一是</w:t>
      </w:r>
      <w:r>
        <w:rPr>
          <w:rFonts w:hint="eastAsia" w:ascii="仿宋_GB2312" w:hAnsi="宋体" w:eastAsia="仿宋_GB2312"/>
          <w:color w:val="auto"/>
          <w:sz w:val="32"/>
          <w:szCs w:val="32"/>
          <w:highlight w:val="none"/>
        </w:rPr>
        <w:t>制定与市场主体生产经营活动密切相关的</w:t>
      </w:r>
      <w:r>
        <w:rPr>
          <w:rFonts w:hint="eastAsia" w:ascii="仿宋_GB2312" w:hAnsi="宋体" w:eastAsia="仿宋_GB2312"/>
          <w:color w:val="auto"/>
          <w:sz w:val="32"/>
          <w:szCs w:val="32"/>
          <w:highlight w:val="none"/>
          <w:lang w:eastAsia="zh-CN"/>
        </w:rPr>
        <w:t>行政</w:t>
      </w:r>
      <w:r>
        <w:rPr>
          <w:rFonts w:hint="eastAsia" w:ascii="仿宋_GB2312" w:hAnsi="宋体" w:eastAsia="仿宋_GB2312"/>
          <w:color w:val="auto"/>
          <w:sz w:val="32"/>
          <w:szCs w:val="32"/>
          <w:highlight w:val="none"/>
        </w:rPr>
        <w:t>规范性文件，起草</w:t>
      </w:r>
      <w:r>
        <w:rPr>
          <w:rFonts w:hint="eastAsia" w:ascii="仿宋_GB2312" w:hAnsi="宋体" w:eastAsia="仿宋_GB2312"/>
          <w:color w:val="auto"/>
          <w:sz w:val="32"/>
          <w:szCs w:val="32"/>
          <w:highlight w:val="none"/>
          <w:lang w:eastAsia="zh-CN"/>
        </w:rPr>
        <w:t>部门</w:t>
      </w:r>
      <w:r>
        <w:rPr>
          <w:rFonts w:hint="eastAsia" w:ascii="仿宋_GB2312" w:hAnsi="宋体" w:eastAsia="仿宋_GB2312"/>
          <w:color w:val="auto"/>
          <w:sz w:val="32"/>
          <w:szCs w:val="32"/>
          <w:highlight w:val="none"/>
        </w:rPr>
        <w:t>应当充分听取相关市场主体、行业协会、商会和企业家的意见和建议</w:t>
      </w:r>
      <w:r>
        <w:rPr>
          <w:rFonts w:hint="eastAsia" w:ascii="仿宋_GB2312" w:hAnsi="宋体" w:eastAsia="仿宋_GB2312"/>
          <w:color w:val="auto"/>
          <w:sz w:val="32"/>
          <w:szCs w:val="32"/>
          <w:highlight w:val="none"/>
          <w:lang w:eastAsia="zh-CN"/>
        </w:rPr>
        <w:t>；二是在行政规范性合法性审核及审查过程中，区司法行政部门就影响面广、情况复杂、社会关注度高或者存在疑难法律问题行政规范性文件可以召开座谈会、论证会等方式征求意见。</w:t>
      </w:r>
    </w:p>
    <w:p>
      <w:pPr>
        <w:keepNext w:val="0"/>
        <w:keepLines w:val="0"/>
        <w:pageBreakBefore w:val="0"/>
        <w:widowControl/>
        <w:numPr>
          <w:ilvl w:val="0"/>
          <w:numId w:val="1"/>
        </w:numPr>
        <w:kinsoku/>
        <w:wordWrap/>
        <w:overflowPunct/>
        <w:topLinePunct w:val="0"/>
        <w:autoSpaceDE/>
        <w:autoSpaceDN/>
        <w:bidi w:val="0"/>
        <w:adjustRightInd/>
        <w:snapToGrid/>
        <w:spacing w:line="560" w:lineRule="exact"/>
        <w:ind w:firstLine="640" w:firstLineChars="200"/>
        <w:contextualSpacing/>
        <w:jc w:val="left"/>
        <w:textAlignment w:val="auto"/>
        <w:rPr>
          <w:rFonts w:hint="eastAsia" w:ascii="楷体_GB2312" w:eastAsia="楷体_GB2312"/>
          <w:sz w:val="32"/>
          <w:szCs w:val="32"/>
          <w:lang w:val="en" w:eastAsia="zh-CN"/>
        </w:rPr>
      </w:pPr>
      <w:r>
        <w:rPr>
          <w:rFonts w:hint="eastAsia" w:ascii="楷体_GB2312" w:eastAsia="楷体_GB2312"/>
          <w:sz w:val="32"/>
          <w:szCs w:val="32"/>
          <w:lang w:eastAsia="zh-CN"/>
        </w:rPr>
        <w:t>强调了起草部门合法性审核职责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szCs w:val="32"/>
          <w:highlight w:val="none"/>
          <w:lang w:val="en-US" w:eastAsia="zh-CN"/>
        </w:rPr>
      </w:pPr>
      <w:r>
        <w:rPr>
          <w:rFonts w:hint="eastAsia" w:ascii="仿宋_GB2312" w:hAnsi="宋体" w:eastAsia="仿宋_GB2312"/>
          <w:color w:val="auto"/>
          <w:sz w:val="32"/>
          <w:szCs w:val="32"/>
          <w:highlight w:val="none"/>
          <w:lang w:eastAsia="zh-CN"/>
        </w:rPr>
        <w:t>为加强部门规范性文件的监管管理，提升部门规范性文件的质量，《规定》进一步强调行政规范性文件应当经起草部门法制机构合法性审核后经部门办公会议审议通过后形成草案</w:t>
      </w:r>
      <w:r>
        <w:rPr>
          <w:rFonts w:hint="eastAsia" w:ascii="仿宋_GB2312" w:hAnsi="宋体" w:eastAsia="仿宋_GB2312"/>
          <w:color w:val="auto"/>
          <w:sz w:val="32"/>
          <w:szCs w:val="32"/>
          <w:highlight w:val="none"/>
          <w:lang w:val="en-US" w:eastAsia="zh-CN"/>
        </w:rPr>
        <w:t>,报送区司法行政部门合法性审核。</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（三）进一步细化司法行政部门合法性审查材料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olor w:val="auto"/>
          <w:sz w:val="32"/>
          <w:szCs w:val="32"/>
          <w:highlight w:val="none"/>
          <w:lang w:val="en" w:eastAsia="zh-CN"/>
        </w:rPr>
      </w:pPr>
      <w:r>
        <w:rPr>
          <w:rFonts w:hint="eastAsia" w:ascii="仿宋_GB2312" w:hAnsi="宋体" w:eastAsia="仿宋_GB2312"/>
          <w:color w:val="auto"/>
          <w:sz w:val="32"/>
          <w:szCs w:val="32"/>
          <w:highlight w:val="none"/>
          <w:lang w:val="en" w:eastAsia="zh-CN"/>
        </w:rPr>
        <w:t>根据《广东省行政规范性文件管理规定(2024修订)》新增的要求，起草部门送审规范性文件，应当规范性文件注释稿。修订后的《规定》在</w:t>
      </w:r>
      <w:r>
        <w:rPr>
          <w:rFonts w:hint="eastAsia" w:ascii="仿宋_GB2312" w:hAnsi="宋体" w:eastAsia="仿宋_GB2312"/>
          <w:color w:val="auto"/>
          <w:sz w:val="32"/>
          <w:szCs w:val="32"/>
          <w:highlight w:val="none"/>
          <w:lang w:val="en-US" w:eastAsia="zh-CN"/>
        </w:rPr>
        <w:t>司法行政部门合法性审查材料方面增加了相关要求，针对修订的行政规范性文件，相应增加了修订对照稿的要求。</w:t>
      </w:r>
    </w:p>
    <w:p>
      <w:pPr>
        <w:keepNext w:val="0"/>
        <w:keepLines w:val="0"/>
        <w:pageBreakBefore w:val="0"/>
        <w:numPr>
          <w:ilvl w:val="-1"/>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（四）增加规范性文件续期的程序性要求</w:t>
      </w:r>
    </w:p>
    <w:p>
      <w:pPr>
        <w:pStyle w:val="2"/>
        <w:rPr>
          <w:rFonts w:hint="eastAsia"/>
          <w:lang w:val="en" w:eastAsia="zh-CN"/>
        </w:rPr>
      </w:pPr>
      <w:r>
        <w:rPr>
          <w:rFonts w:hint="eastAsia" w:ascii="仿宋_GB2312" w:hAnsi="宋体" w:eastAsia="仿宋_GB2312"/>
          <w:color w:val="auto"/>
          <w:sz w:val="32"/>
          <w:szCs w:val="32"/>
          <w:highlight w:val="none"/>
          <w:lang w:val="en-US" w:eastAsia="zh-CN"/>
        </w:rPr>
        <w:t>原《规定》并未规定行政规范性文件续期的情形、方式及程序规定。《规定》新增规范性文件因行政管理需要仅作文字表述、管理部门名称调整等不涉及实体内容的简易修改，或者有效期届满拟继续实施但不作修改的，实施部门进行合法性审核、部门办公会审议，制定机关主要负责人签发，在有效期届满前在盐田区人民政府网站上发布，并按照要求报送备案材料。</w:t>
      </w: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default" w:ascii="仿宋_GB2312" w:hAnsi="宋体" w:eastAsia="仿宋_GB2312"/>
          <w:color w:val="auto"/>
          <w:sz w:val="32"/>
          <w:szCs w:val="32"/>
          <w:highlight w:val="none"/>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经典黑体简">
    <w:panose1 w:val="02010609000101010101"/>
    <w:charset w:val="86"/>
    <w:family w:val="auto"/>
    <w:pitch w:val="default"/>
    <w:sig w:usb0="A1007AEF" w:usb1="F9DF7CFB" w:usb2="0000001E" w:usb3="00000000" w:csb0="2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rFonts w:hint="eastAsia"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5F2277"/>
    <w:multiLevelType w:val="singleLevel"/>
    <w:tmpl w:val="E35F227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9FBA269"/>
    <w:rsid w:val="1FFFE07A"/>
    <w:rsid w:val="472BB5C7"/>
    <w:rsid w:val="6FAFB7AD"/>
    <w:rsid w:val="73B7BAD3"/>
    <w:rsid w:val="7BFD362E"/>
    <w:rsid w:val="7C7DE29B"/>
    <w:rsid w:val="7FB76580"/>
    <w:rsid w:val="B3FFAC79"/>
    <w:rsid w:val="D5FE0070"/>
    <w:rsid w:val="F2DF7EA3"/>
    <w:rsid w:val="F5FEC4DC"/>
    <w:rsid w:val="F6DF64E1"/>
    <w:rsid w:val="F7FB9D58"/>
    <w:rsid w:val="F7FF0B7A"/>
    <w:rsid w:val="F9FBA269"/>
    <w:rsid w:val="FBEE1C1B"/>
    <w:rsid w:val="FBF320DD"/>
    <w:rsid w:val="FDAF6D43"/>
    <w:rsid w:val="FFF71A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2024-05-17T23:20:00Z</dcterms:created>
  <dc:creator>yt</dc:creator>
  <cp:lastModifiedBy>yt</cp:lastModifiedBy>
  <cp:lastPrinted>2024-05-25T01:41:00Z</cp:lastPrinted>
  <dcterms:modified xsi:type="dcterms:W3CDTF">2024-07-05T14:48:01Z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