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58" w:beforeLines="80"/>
      </w:pPr>
    </w:p>
    <w:p/>
    <w:p/>
    <w:p/>
    <w:p/>
    <w:p/>
    <w:tbl>
      <w:tblPr>
        <w:tblStyle w:val="10"/>
        <w:tblW w:w="8847" w:type="dxa"/>
        <w:tblInd w:w="0" w:type="dxa"/>
        <w:tblLayout w:type="fixed"/>
        <w:tblCellMar>
          <w:top w:w="0" w:type="dxa"/>
          <w:left w:w="0" w:type="dxa"/>
          <w:bottom w:w="0" w:type="dxa"/>
          <w:right w:w="0" w:type="dxa"/>
        </w:tblCellMar>
      </w:tblPr>
      <w:tblGrid>
        <w:gridCol w:w="8847"/>
      </w:tblGrid>
      <w:tr>
        <w:tblPrEx>
          <w:tblCellMar>
            <w:top w:w="0" w:type="dxa"/>
            <w:left w:w="0" w:type="dxa"/>
            <w:bottom w:w="0" w:type="dxa"/>
            <w:right w:w="0" w:type="dxa"/>
          </w:tblCellMar>
        </w:tblPrEx>
        <w:trPr>
          <w:cantSplit/>
          <w:trHeight w:val="417" w:hRule="atLeast"/>
        </w:trPr>
        <w:tc>
          <w:tcPr>
            <w:tcW w:w="8847" w:type="dxa"/>
            <w:vAlign w:val="bottom"/>
          </w:tcPr>
          <w:p>
            <w:pPr>
              <w:ind w:right="392"/>
              <w:jc w:val="center"/>
            </w:pPr>
            <w:bookmarkStart w:id="0" w:name="文件字"/>
            <w:r>
              <w:rPr>
                <w:rFonts w:hint="eastAsia" w:ascii="仿宋_GB2312"/>
              </w:rPr>
              <w:t>深盐教</w:t>
            </w:r>
            <w:bookmarkEnd w:id="0"/>
            <w:r>
              <w:rPr>
                <w:rFonts w:hint="eastAsia" w:ascii="仿宋_GB2312"/>
              </w:rPr>
              <w:t>〔</w:t>
            </w:r>
            <w:bookmarkStart w:id="1" w:name="年度"/>
            <w:r>
              <w:rPr>
                <w:rFonts w:hint="eastAsia" w:ascii="仿宋_GB2312"/>
              </w:rPr>
              <w:t>20</w:t>
            </w:r>
            <w:bookmarkEnd w:id="1"/>
            <w:r>
              <w:rPr>
                <w:rFonts w:hint="eastAsia" w:ascii="仿宋_GB2312"/>
              </w:rPr>
              <w:t>20〕55号</w:t>
            </w:r>
          </w:p>
        </w:tc>
      </w:tr>
    </w:tbl>
    <w:p>
      <w:pPr>
        <w:snapToGrid w:val="0"/>
        <w:spacing w:line="560" w:lineRule="exact"/>
        <w:jc w:val="center"/>
        <w:rPr>
          <w:rFonts w:ascii="方正小标宋简体" w:eastAsia="方正小标宋简体"/>
          <w:sz w:val="44"/>
        </w:rPr>
      </w:pPr>
    </w:p>
    <w:p>
      <w:pPr>
        <w:snapToGrid w:val="0"/>
        <w:spacing w:line="560" w:lineRule="exact"/>
        <w:jc w:val="center"/>
        <w:rPr>
          <w:rFonts w:ascii="方正小标宋简体" w:eastAsia="方正小标宋简体"/>
          <w:sz w:val="44"/>
        </w:rPr>
      </w:pPr>
    </w:p>
    <w:p>
      <w:pPr>
        <w:snapToGrid w:val="0"/>
        <w:spacing w:line="560" w:lineRule="exact"/>
        <w:jc w:val="center"/>
        <w:rPr>
          <w:rFonts w:ascii="方正小标宋简体" w:eastAsia="方正小标宋简体"/>
          <w:sz w:val="44"/>
        </w:rPr>
      </w:pPr>
      <w:r>
        <w:rPr>
          <w:rFonts w:hint="eastAsia" w:ascii="方正小标宋简体" w:eastAsia="方正小标宋简体"/>
          <w:sz w:val="44"/>
        </w:rPr>
        <w:t>区教育局关于印发2019-2020学年度工作总结和2020-2021学年度工作计划的通知</w:t>
      </w:r>
    </w:p>
    <w:p>
      <w:pPr>
        <w:snapToGrid w:val="0"/>
        <w:spacing w:line="560" w:lineRule="exact"/>
        <w:jc w:val="center"/>
        <w:rPr>
          <w:rFonts w:ascii="方正小标宋简体" w:eastAsia="方正小标宋简体"/>
          <w:sz w:val="44"/>
        </w:rPr>
      </w:pPr>
    </w:p>
    <w:p>
      <w:pPr>
        <w:pStyle w:val="4"/>
        <w:spacing w:line="560" w:lineRule="exact"/>
        <w:ind w:firstLine="0"/>
        <w:rPr>
          <w:rFonts w:ascii="仿宋_GB2312"/>
        </w:rPr>
      </w:pPr>
      <w:r>
        <w:rPr>
          <w:rFonts w:hint="eastAsia" w:ascii="仿宋_GB2312"/>
        </w:rPr>
        <w:t>局机关各科室，区教科院、区教育服务中心，区属各公办中小学、幼儿园：</w:t>
      </w:r>
    </w:p>
    <w:p>
      <w:pPr>
        <w:pStyle w:val="4"/>
        <w:spacing w:line="560" w:lineRule="exact"/>
        <w:ind w:firstLine="629"/>
        <w:rPr>
          <w:rFonts w:ascii="仿宋_GB2312"/>
        </w:rPr>
      </w:pPr>
      <w:r>
        <w:rPr>
          <w:rFonts w:hint="eastAsia" w:ascii="仿宋_GB2312"/>
        </w:rPr>
        <w:t>现将《2019-2020学年度工作总结和2020-2021学年度工作计划》印发给你们，请认真学习，并结合实际贯彻落实。</w:t>
      </w:r>
    </w:p>
    <w:p>
      <w:pPr>
        <w:pStyle w:val="4"/>
        <w:spacing w:line="560" w:lineRule="exact"/>
        <w:ind w:firstLine="629"/>
        <w:rPr>
          <w:rFonts w:ascii="仿宋_GB2312"/>
        </w:rPr>
      </w:pPr>
      <w:r>
        <w:rPr>
          <w:rFonts w:hint="eastAsia" w:ascii="仿宋_GB2312"/>
        </w:rPr>
        <w:t>特此通知。</w:t>
      </w:r>
    </w:p>
    <w:p>
      <w:pPr>
        <w:pStyle w:val="4"/>
        <w:spacing w:line="560" w:lineRule="exact"/>
        <w:ind w:firstLine="629"/>
        <w:rPr>
          <w:rFonts w:ascii="仿宋_GB2312"/>
        </w:rPr>
      </w:pPr>
    </w:p>
    <w:p>
      <w:pPr>
        <w:pStyle w:val="15"/>
        <w:spacing w:line="560" w:lineRule="exact"/>
        <w:ind w:left="0" w:firstLine="621" w:firstLineChars="199"/>
      </w:pPr>
    </w:p>
    <w:p>
      <w:pPr>
        <w:pStyle w:val="15"/>
        <w:spacing w:line="560" w:lineRule="exact"/>
        <w:ind w:left="0" w:firstLine="621" w:firstLineChars="199"/>
      </w:pPr>
    </w:p>
    <w:p>
      <w:pPr>
        <w:spacing w:line="560" w:lineRule="exact"/>
        <w:ind w:right="765"/>
        <w:jc w:val="right"/>
        <w:rPr>
          <w:rFonts w:ascii="仿宋_GB2312"/>
        </w:rPr>
      </w:pPr>
      <w:bookmarkStart w:id="2" w:name="GWDocEnd"/>
      <w:bookmarkEnd w:id="2"/>
      <w:r>
        <w:rPr>
          <w:rFonts w:hint="eastAsia" w:ascii="仿宋_GB2312"/>
        </w:rPr>
        <w:t>深圳市盐田区教育局</w:t>
      </w:r>
    </w:p>
    <w:p>
      <w:pPr>
        <w:wordWrap w:val="0"/>
        <w:spacing w:line="560" w:lineRule="exact"/>
        <w:ind w:right="765"/>
        <w:jc w:val="right"/>
        <w:rPr>
          <w:rFonts w:ascii="仿宋_GB2312"/>
        </w:rPr>
      </w:pPr>
      <w:r>
        <w:rPr>
          <w:rFonts w:hint="eastAsia" w:ascii="仿宋_GB2312"/>
        </w:rPr>
        <w:t xml:space="preserve">2020年9月14日 </w:t>
      </w:r>
    </w:p>
    <w:p>
      <w:pPr>
        <w:rPr>
          <w:rFonts w:ascii="方正小标宋简体" w:hAnsi="宋体" w:eastAsia="方正小标宋简体" w:cstheme="minorBidi"/>
          <w:sz w:val="44"/>
          <w:szCs w:val="44"/>
        </w:rPr>
      </w:pPr>
      <w:r>
        <w:rPr>
          <w:rFonts w:hint="eastAsia" w:ascii="方正小标宋简体" w:hAnsi="宋体" w:eastAsia="方正小标宋简体" w:cstheme="minorBidi"/>
          <w:sz w:val="44"/>
          <w:szCs w:val="44"/>
        </w:rPr>
        <w:br w:type="page"/>
      </w:r>
    </w:p>
    <w:p>
      <w:pPr>
        <w:spacing w:line="560" w:lineRule="exact"/>
        <w:jc w:val="center"/>
        <w:rPr>
          <w:rFonts w:ascii="方正小标宋简体" w:hAnsi="宋体" w:eastAsia="方正小标宋简体" w:cstheme="minorBidi"/>
          <w:sz w:val="44"/>
          <w:szCs w:val="44"/>
        </w:rPr>
      </w:pPr>
    </w:p>
    <w:p>
      <w:pPr>
        <w:spacing w:line="560" w:lineRule="exact"/>
        <w:jc w:val="center"/>
        <w:rPr>
          <w:rFonts w:ascii="方正小标宋简体" w:hAnsi="宋体" w:eastAsia="方正小标宋简体" w:cstheme="minorBidi"/>
          <w:sz w:val="44"/>
          <w:szCs w:val="44"/>
        </w:rPr>
      </w:pPr>
      <w:r>
        <w:rPr>
          <w:rFonts w:hint="eastAsia" w:ascii="方正小标宋简体" w:hAnsi="宋体" w:eastAsia="方正小标宋简体" w:cstheme="minorBidi"/>
          <w:sz w:val="44"/>
          <w:szCs w:val="44"/>
        </w:rPr>
        <w:t>区教育局2019-2020学年度工作总结和2020-2021学年度主要工作</w:t>
      </w:r>
    </w:p>
    <w:p>
      <w:pPr>
        <w:spacing w:line="560" w:lineRule="exact"/>
        <w:jc w:val="center"/>
        <w:rPr>
          <w:rFonts w:ascii="仿宋_GB2312" w:hAnsiTheme="minorHAnsi" w:cstheme="minorBidi"/>
          <w:spacing w:val="-10"/>
          <w:szCs w:val="32"/>
        </w:rPr>
      </w:pPr>
    </w:p>
    <w:p>
      <w:pPr>
        <w:spacing w:line="560" w:lineRule="exact"/>
        <w:ind w:firstLine="624" w:firstLineChars="200"/>
        <w:rPr>
          <w:rFonts w:ascii="黑体" w:hAnsi="黑体" w:eastAsia="黑体" w:cs="黑体"/>
          <w:szCs w:val="32"/>
        </w:rPr>
      </w:pPr>
      <w:r>
        <w:rPr>
          <w:rFonts w:hint="eastAsia" w:ascii="黑体" w:hAnsi="黑体" w:eastAsia="黑体" w:cs="黑体"/>
          <w:szCs w:val="32"/>
        </w:rPr>
        <w:t>一、2019-2020学年度工作总结</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color w:val="000000"/>
          <w:szCs w:val="32"/>
        </w:rPr>
        <w:t>本学年，全区教育工作者在区委区政府和市教育局的领导下，坚持以习近平新时代中国特色社会主义思想为指导，全面贯彻党的十九大和十九届二中、三中、四中全会精神，深入学习贯彻习近平总书记关于广东、深圳工作的重要讲话和指示批示精神，全面贯彻落实区委五届五次党代会精神，坚决落实以走在最前列的标准打造“六区”的要求，抢抓“双区驱动”战略机遇，大力实施盐田教育高质量发展，坚决打赢疫情防控、在线教学、返校复课三大攻坚战役，聚焦民生服务，深化供给侧结构性改革，扩大优质教育资源供给，初步实现盐田教育供给和服务的均等化优质化。</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（一）党建教育双融合双提升</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一是以党的建设为统领，充分发挥基层战斗堡垒作用。</w:t>
      </w:r>
      <w:r>
        <w:rPr>
          <w:rFonts w:hint="eastAsia" w:ascii="仿宋_GB2312" w:hAnsi="仿宋_GB2312" w:cs="仿宋_GB2312"/>
          <w:color w:val="000000"/>
          <w:szCs w:val="32"/>
        </w:rPr>
        <w:t>2019年8月成立中共深圳市盐田区委教育工作委员会（简称区委教育工委）和中共深圳市盐田区委教育纪律检查工作委员会（简称区委教育纪工委）,着力推动党建、教育双融合、双促进、双提升。持续开展党支部分类定级提质晋级，组织“五个一”党支部标准化规范化建设主题党日活动，抓好“三会一课”，各党支部做到了组织生活制度、党费收缴和管理、党员发展流程、基层党组设置4个规范。高标准、高质量完成党代表推选工作，新成立盐港中学和区外国语学校两个党总支。</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二是以主题教育为抓手，发挥头雁引领作用。</w:t>
      </w:r>
      <w:r>
        <w:rPr>
          <w:rFonts w:hint="eastAsia" w:ascii="仿宋_GB2312" w:hAnsi="仿宋_GB2312" w:cs="仿宋_GB2312"/>
          <w:color w:val="000000"/>
          <w:szCs w:val="32"/>
        </w:rPr>
        <w:t>精心制定“不忘初心、牢记使命”主题教育、处级干部和全体党员学习研讨和调研等方案。局领导带队，组成10个调研组，征集意见建议100条，提交调研报告10份，将巡察的23项问题细化为41个具体问题，实施“台账式管理”“销号落实”制度，确保问题整改到位不反弹。出台《盐田区教育局党组意识形态工作责任制实施方案》，与各中小学幼儿园负责人签订2019年度学校意识形态工作责任书。结合疫情防控和返校复学工作，落实“复学第一课”，建立书记校长带头讲授思政“第一课”制度，评选出先进工作者10名、劳模5名，区委教育工委被评为“学习型组织”，3人被评为“学习标兵”（全区仅十位）。通过主题教育、党员“政治生日”、庆祝建党99周年主题支部等活动，有效发挥党员的引领作用。</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三是以巡察整改为契机，发挥警示教育作用。</w:t>
      </w:r>
      <w:r>
        <w:rPr>
          <w:rFonts w:hint="eastAsia" w:ascii="仿宋_GB2312" w:hAnsi="仿宋_GB2312" w:cs="仿宋_GB2312"/>
          <w:color w:val="000000"/>
          <w:szCs w:val="32"/>
        </w:rPr>
        <w:t>局纪工委立行立改“私车公养”，并规范下属事业单位公车使用审批程序，补齐公车管理短板。特邀区人民检察院副检察长荣东久主讲教育系统相关职务犯罪案例，旁听原市第二职业学校校长郑某涉嫌受贿罪一案的庭审，组织全体党员干部观看党风廉政警示教育片，学习《中国共产党支部工作条例（试行）》《中国共产党教育管理工作条例》等党内文件，进一步增强廉洁从业意识，推动全面从严治党向纵深发展。</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四是以党建带群团，发挥群团桥梁纽带作用。</w:t>
      </w:r>
      <w:r>
        <w:rPr>
          <w:rFonts w:hint="eastAsia" w:ascii="仿宋_GB2312" w:hAnsi="仿宋_GB2312" w:cs="仿宋_GB2312"/>
          <w:color w:val="000000"/>
          <w:szCs w:val="32"/>
        </w:rPr>
        <w:t>开展“青年讲师讲团课”活动，打造学校思政精品课程，“空中团校”结合防疫抗疫主题，先后推出30节线上团课，教育覆盖6000余人次，开展寻找“最美南粤少年”活动，参加我区第四届全民健身运动会，组织未婚大龄青年参加“鹊桥牵手”活动，开展“巾帼文明岗”评选工作。局关工委被教育部关工委评选为“我为祖国点赞”研学、演讲朗诵活动全国先进集体。</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五是以高度责任感，抓实扶贫支教工作。</w:t>
      </w:r>
      <w:r>
        <w:rPr>
          <w:rFonts w:hint="eastAsia" w:ascii="仿宋_GB2312" w:hAnsi="仿宋_GB2312" w:cs="仿宋_GB2312"/>
          <w:color w:val="000000"/>
          <w:szCs w:val="32"/>
        </w:rPr>
        <w:t>我局各帮扶单位累计入户慰问17次，捐赠图书、书包、文具等计4.48万元，为村22户五保户、77户贫困户捐赠生活用品、慰问金计12.68万元。为老围村小学修建篮球场、修路、筹措人居环境整治经费累计147.03万元，经测算老围村贫困户2019年人均可支配收入为1.285万元，如期完成“两个出列”“三个确保一个力争”任务，实现精准脱贫目标，并顺利通过“红色革命文化示范村”省级验收。结对帮扶百色市乐业县、凌云县教育局，接待多批对口单位骨干教师来我区中小学、幼儿园跟岗学习，同时派出数十名教育管理人员和骨干教师到对口单位支教。</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（二）基础教育品质提升显著</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color w:val="000000"/>
          <w:szCs w:val="32"/>
        </w:rPr>
        <w:t xml:space="preserve">2019年是行动计划收官之年，落实教育“整体化、信息化、国际化、现代化”20项举措，与教育部教育发展研究中心共建“教育现代化区域创新试验区”，推动盐田教育高质量发展，成果如下： </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一是2020年中高考新跃升。</w:t>
      </w:r>
      <w:r>
        <w:rPr>
          <w:rFonts w:hint="eastAsia" w:ascii="仿宋_GB2312" w:hAnsi="仿宋_GB2312" w:cs="仿宋_GB2312"/>
          <w:color w:val="000000"/>
          <w:szCs w:val="32"/>
        </w:rPr>
        <w:t>全区984名学生参加高考，541人达到高分优先投档线，高优率54.98%；935人达到本科线，上线率为95.02%，继续保持本科率95%的深圳教育先进行列,并呈现 “两率”“术科成绩”“尖子生”3个跃升。盐田高级中学（下称盐高）高优、本科率分别为56.1%、97.3%，较去年分别增加11.6%、2.24%，美术本科率99.1%、音乐高优率100%均名列全省第一。盐港中学（下称盐港）朱颖美术术科269分居广东省联考第3名，黄建安、林泽鸿体育术科296分、294分分列深圳第一、第二；盐高继去年屈章录入清华之后，郭真茹、蒲贝悦2人被清华录取，万科书院获738封海外名校录取书，奖学金累计2000万元，创三年新高。</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color w:val="000000"/>
          <w:szCs w:val="32"/>
        </w:rPr>
        <w:t xml:space="preserve">中考高位新突破。全区中考均分实现了360分（总分460分）的好成绩。全区中高分段人数较去年增幅较大，400分以上增加57人，其中430分以上增加5人。 </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二是义务教育优质均衡。</w:t>
      </w:r>
      <w:r>
        <w:rPr>
          <w:rFonts w:hint="eastAsia" w:ascii="仿宋_GB2312" w:hAnsi="仿宋_GB2312" w:cs="仿宋_GB2312"/>
          <w:color w:val="000000"/>
          <w:szCs w:val="32"/>
        </w:rPr>
        <w:t>在国家义务教育质量监测中，我区德育、数学、科学等科目优秀率远高于全省和全国水平。连续三年，学生学业成绩的校际差异均远低于0.15，保持高位优质均衡。区教科院、区外国语学校分获深圳市中小学生探究性小课题研究优秀组织奖、示范学校。在深圳学生创客节（2019）活动中，我区获一等奖7项、二等奖24项，三等奖15项，为近三年最好成绩。梅沙未来学校STEM案例获全国教育最佳，海涛小学在2019世界机器人大赛获全国一等奖、盐港中学的虚拟机器人社团获全国一等奖，田东中学、梅沙未来学校、云海学校分别被授予全国青少年校园网球、足球、排球特色学校，云海学校《图书馆保卫计划》获2020全球StarT年度最佳学生项目第二名，这是中国代表团自2018年获得的最高奖项。本学年，学生获市级以上奖励1186人次，其中国家、省、市级分别为15、139、1132人次。</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三是学前教育保质保量。</w:t>
      </w:r>
      <w:r>
        <w:rPr>
          <w:rFonts w:hint="eastAsia" w:ascii="仿宋_GB2312" w:hAnsi="仿宋_GB2312" w:cs="仿宋_GB2312"/>
          <w:color w:val="000000"/>
          <w:szCs w:val="32"/>
        </w:rPr>
        <w:t>聚焦“5080”任务，先后出台了《盐田区公办幼儿园建设重点项目推进工作方案》《盐田区推进公办幼儿园建设工作实施方案》《盐田区民办幼儿园转型工作指引》等文件，协同全区19个部门和单位，新建改建、转型幼儿园计11所，公办园由3所增至14所，新增公办学位2900个，公办园在园儿童占比由16%提升至约55%，普惠园在园儿童占比高达97%，高水平完成了公办园建设和普惠发展的任务。探索实施了“小微型集团化办园”模式，通过“总分园和结对子园”“园长加执行园长双轨制”“轮岗交流”等创新举措，盘活优质资源，培育基础队伍，打造了可持续的管理生态系统。同时，加大对学前教育投入，年内财政统筹新增9所公办园资金1.048亿元，学前教育经费总体增长幅度，居全区各项事业之首。</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四是特殊教育量身定制。</w:t>
      </w:r>
      <w:r>
        <w:rPr>
          <w:rFonts w:hint="eastAsia" w:ascii="仿宋_GB2312" w:hAnsi="仿宋_GB2312" w:cs="仿宋_GB2312"/>
          <w:color w:val="000000"/>
          <w:szCs w:val="32"/>
        </w:rPr>
        <w:t>编制《盐田区第二期特殊教育提升计划》，梳理摸查全区适龄特殊儿童，定制“一人一案”，实现义务教育阶段特殊儿童入学率100%，启动田东中学特教班建设，全年（2019）投入经费282余万元。与区残联、深圳狮子会天成服务队、沙头角海关、沙头角图书馆、盐康残疾人综合服务中心合作，定期开展“大手拉小手 让你不孤单”“世界自闭症关注日”等活动，个性化 “送教上门”累计2280余次。</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（三）坚决打赢三大攻坚战</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一是织密校园疫情 “防护网”。</w:t>
      </w:r>
      <w:r>
        <w:rPr>
          <w:rFonts w:hint="eastAsia" w:ascii="仿宋_GB2312" w:hAnsi="仿宋_GB2312" w:cs="仿宋_GB2312"/>
          <w:color w:val="000000"/>
          <w:szCs w:val="32"/>
        </w:rPr>
        <w:t>精心设计“防控工作”“应急处置”2个总方案，制订返校复课查验等8项制度、全员健康管理等10项措施，打通与社区联防联控神经末梢，“三类人员”“境外重点人员返深返盐”防控报备、应急处置、信息核查形成全流程闭环。</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二是严把在线教学质量“生命线”。</w:t>
      </w:r>
      <w:r>
        <w:rPr>
          <w:rFonts w:hint="eastAsia" w:ascii="仿宋_GB2312" w:hAnsi="仿宋_GB2312" w:cs="仿宋_GB2312"/>
          <w:color w:val="000000"/>
          <w:szCs w:val="32"/>
        </w:rPr>
        <w:t>建立了一个主平台（腾讯课堂）多个平台（钉钉、异度云、慕课、晓黑板等）协同一主多元线上教学机制，精心设计直播、录播和混合等三种线上教学模式。全区16所中小学线上教学,涵盖学生总人数23926人，学生日均在线率基本维持在99%。录制各学科名师精品课431节、特色课136节，全区教师线上直播课120869节、在线教研活动2092人次，教研员巡课共计5510节。创造性地研发一套适合3-15岁学生的“家庭项目式学习六步曲”操作模式，分三学段开发出19个大项44个小项的活动主题，该活动在全国范围内产生积极影响。徐欣、杨大成、区外国语学校等5人和单位被评选为市在线教学先进个人和单位。实施“每日一报”巡课制度，局领导下挂点学校随机抽查，教研员“一人一校”定点线上巡课，学校实时网上监管。学生、家长、教师整体满意度在99.5%以上，全市领先。</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三是筑牢返校复课“安全墙”。</w:t>
      </w:r>
      <w:r>
        <w:rPr>
          <w:rFonts w:hint="eastAsia" w:ascii="仿宋_GB2312" w:hAnsi="仿宋_GB2312" w:cs="仿宋_GB2312"/>
          <w:color w:val="000000"/>
          <w:szCs w:val="32"/>
        </w:rPr>
        <w:t>做到主体责任落实、健康筛查、疫情培训及演练、校园卫生保障、校园安全管理等“十个到位”。专业公司开展多轮无死角的消杀，组织两轮防控培训和实战模拟演练，内容涵盖入校、上课、午餐午休、住宿、离校等所有环节；对无法步行或乘坐私家车上下学的师生，由学校统一安排通勤车辆点对点接送。对全体71家纳管单位共32项防控点进行了全覆盖飞行检查，局领导班子、人大代表分8个检查组，累计 400余人次，进行三轮全程检查，立行整改和解决检查中问题和困难。联合区卫健局、盐田公安分局、市市场监管局盐田监管局、盐田交警大队和各街道，分五批顺利完成全区18所中小学、26所幼儿园和21所校外培训机构的督查工作，开展14场计655人次返校复课及疫情防控工作专项督导检查。经督查，我区各学校（园）、校外培训机构疫情防控工作责任落实到位、防控有力，开学秩序井然。</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（四）聚焦民生服务提升治理品质</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一是督导促高质量发展。</w:t>
      </w:r>
      <w:r>
        <w:rPr>
          <w:rFonts w:hint="eastAsia" w:ascii="仿宋_GB2312" w:hAnsi="仿宋_GB2312" w:cs="仿宋_GB2312"/>
          <w:color w:val="000000"/>
          <w:szCs w:val="32"/>
        </w:rPr>
        <w:t>开展了公办园建设、中小学教师工资待遇专项督导，实施幼儿园办学等级认定工作，完成盐田实验学校办学水平评估。检视整改2018-2019年深圳市公办义务教育学位建设专项督导评估提出学位供给量不足、结构性、大班额等问题，促学位保供。结合国家监测报告，制定了《盐田区2016-2018年国家义务教育质量监测问题整改工作方案》，促均衡优质。据省政府公布的2018年市县区政府履职评价报告，我区综合得分87.41分，在深圳市10个区、珠三角48个县（区）中分居第5、第10位。</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二是招生工作平稳有序。</w:t>
      </w:r>
      <w:r>
        <w:rPr>
          <w:rFonts w:hint="eastAsia" w:ascii="仿宋_GB2312" w:hAnsi="仿宋_GB2312" w:cs="仿宋_GB2312"/>
          <w:szCs w:val="32"/>
        </w:rPr>
        <w:t>召开听证会、专家咨询论证会等，广泛征求社会各界意见，在全市率先完成义务教育招生政策调整。成立了盐田区化解学位问题引发涉稳风险工作专责领导小组，通过全面实行学位锁定、加大学位供给、动态调整、片区调剂等举措，实现学位紧平衡，保障了符合条件的申请人100%入读义务教育阶段公办学校，有效化解学位涉稳风险。精准摸排幼儿园大班、小学六年级在读人数，积极挖潜扩容，各中小学校累计扩班23个，增加学位供给994个。针对我区学位供给结构不平衡的特点，积极回应居民合理诉求，及时动态调整学位供给，云海学校调增小一学位86个，6所转型公办园过渡期内，维持原有班额数，合计增加学位约250个；星星海园在梅沙未来学校借址办园，增加80个公办学位，妥善安置小梅沙园停办分流儿童；积极应对“海桐社区”和“山海城家园”两个矛盾风险点，最终妥善统筹调剂至附近幼儿园入读。招生期间，接待个人来访约800人次，接听来电咨询约3500次，个人咨询性信访约400余件，我区无一起涉及招生的治安刑事案件及负面舆情。</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三是各类考试精心高效。</w:t>
      </w:r>
      <w:r>
        <w:rPr>
          <w:rFonts w:hint="eastAsia" w:ascii="仿宋_GB2312" w:hAnsi="仿宋_GB2312" w:cs="仿宋_GB2312"/>
          <w:color w:val="000000"/>
          <w:szCs w:val="32"/>
        </w:rPr>
        <w:t>学年内组织高考、中考等19场次，考生人数2万余人，累计投入考务人员2000余人次、11个外围保障部门1000多人次。盐高、区外国语学校、田东中学、实验学校勇担主责，精心组织实施，区卫健、公安、交警、供电等部门倾力配合，实现各类考试防疫零异常、保密零失误、设备零故障、考务零差错、考风零违纪、考生零迟到、服务零投诉“七个零”的成效。</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四是校园安全无死角。</w:t>
      </w:r>
      <w:r>
        <w:rPr>
          <w:rFonts w:hint="eastAsia" w:ascii="仿宋_GB2312" w:hAnsi="仿宋_GB2312" w:cs="仿宋_GB2312"/>
          <w:color w:val="000000"/>
          <w:szCs w:val="32"/>
        </w:rPr>
        <w:t>严格履行 “一岗双责”责任，编制《盐田区校园安全稳定突发事件应急案》，层层签订安全工作责任书，完成了全区幼儿园安全监控系统的升级改造工作，实现了全区幼儿园重要监控点位无死角、无盲区覆盖。联合各相关职能部门通过编密织牢“校车网”、织牢食材“监管网”、筑牢防疫“安全网”，确保了辖区校园安全稳定。组织开展了消防、道路交通、食品安全等第一课，联合各相关职能部门开展了应急知识、消防安全、食品安全等进校园活动，组织开展了2019年校园安全综合应急、保安员轮值轮训实操等演练。创新“学校自查+区教育局督查+多部门联动执法检查”校园安全隐患排查方式，确保了校园安全零事故。</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五是民办园纾困政策及时。</w:t>
      </w:r>
      <w:r>
        <w:rPr>
          <w:rFonts w:hint="eastAsia" w:ascii="仿宋_GB2312" w:hAnsi="仿宋_GB2312" w:cs="仿宋_GB2312"/>
          <w:color w:val="000000"/>
          <w:szCs w:val="32"/>
        </w:rPr>
        <w:t>提前发放普惠园奖励性补助经费共计401.5万元，提高三方共管账户保证金提取比例，共计解冻资金146.39万元。统筹做好民办园防疫物资的调配、供应工作，在配发防疫物资方面给予民办园倾斜。加强线上防疫专项培训，开展疫情防控知识及技能培训，提高民办园复学防疫能力。</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六是法治建设有成效。</w:t>
      </w:r>
      <w:r>
        <w:rPr>
          <w:rFonts w:hint="eastAsia" w:ascii="仿宋_GB2312" w:hAnsi="仿宋_GB2312" w:cs="仿宋_GB2312"/>
          <w:color w:val="000000"/>
          <w:szCs w:val="32"/>
        </w:rPr>
        <w:t>成立专项工作领导小组，建立局领导班子办公会、党组（扩大会）等会专题学习法律法规、行政法规、地方政府规章、党规党纪等文件机制。坚持依法行政，2020年义务教育招生政策调整严格</w:t>
      </w:r>
      <w:r>
        <w:rPr>
          <w:rFonts w:hint="eastAsia" w:ascii="仿宋_GB2312" w:hAnsi="仿宋_GB2312" w:cs="仿宋_GB2312"/>
          <w:szCs w:val="32"/>
        </w:rPr>
        <w:t>遵循法定程序。</w:t>
      </w:r>
      <w:r>
        <w:rPr>
          <w:rFonts w:hint="eastAsia" w:ascii="仿宋_GB2312" w:hAnsi="仿宋_GB2312" w:cs="仿宋_GB2312"/>
          <w:color w:val="000000"/>
          <w:szCs w:val="32"/>
        </w:rPr>
        <w:t>充分发挥法治副校长、法治辅导员作用，2019年3名法治副校长、法治辅导员获评深圳市“优秀法治副校长”“优秀法治辅导员”。协同区政法委、公安等部门排查针对校园的违法犯罪活动、反欺凌等专项行动。加强法治教育，组织开展宪法、民法典等宣传，扎实开展涉毒问题日常监测工作与毒品预防教育等工作，教育系统19人获全民禁毒工程先进个人。</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七是德育活动丰富多彩。</w:t>
      </w:r>
      <w:r>
        <w:rPr>
          <w:rFonts w:hint="eastAsia" w:ascii="仿宋_GB2312" w:hAnsi="仿宋_GB2312" w:cs="仿宋_GB2312"/>
          <w:color w:val="000000"/>
          <w:szCs w:val="32"/>
        </w:rPr>
        <w:t>结合未成年人思想道德建设、社会主义核心价值观教育、文明校园及第六届全国文明城市创建等活动，各校、园利用微信平台、广播站、宣传栏等开展多种形式宣传，制定了《盐田区中小学四大德育品牌实施方案》，通过开展最美代“盐”人公益志愿服务、中华经典诵读、中英街“3·18警示日”、家校共育等丰富多彩德育活动，传播社会主义核心价值观，营造城市文明浓厚氛围，各校园建立健康促进台账，扎实有序开展健康促进工作，形成良好的育人环境。</w:t>
      </w:r>
    </w:p>
    <w:p>
      <w:pPr>
        <w:spacing w:line="560" w:lineRule="exact"/>
        <w:ind w:firstLine="630"/>
        <w:rPr>
          <w:rFonts w:ascii="仿宋_GB2312" w:hAnsi="仿宋_GB2312" w:cs="仿宋_GB2312"/>
          <w:color w:val="000000"/>
          <w:szCs w:val="32"/>
        </w:rPr>
      </w:pPr>
      <w:r>
        <w:rPr>
          <w:rFonts w:hint="eastAsia" w:ascii="仿宋_GB2312" w:hAnsi="仿宋_GB2312" w:cs="仿宋_GB2312"/>
          <w:b/>
          <w:color w:val="000000"/>
          <w:szCs w:val="32"/>
        </w:rPr>
        <w:t>八是宣传报道树形象。</w:t>
      </w:r>
      <w:r>
        <w:rPr>
          <w:rFonts w:hint="eastAsia" w:ascii="仿宋_GB2312" w:hAnsi="仿宋_GB2312" w:cs="仿宋_GB2312"/>
          <w:color w:val="000000"/>
          <w:szCs w:val="32"/>
        </w:rPr>
        <w:t>充分利用微信平台、传统媒体、融媒体加大盐田教育宣传力度。推送微信计296条，在《中国教师报》《南方都市报》《南方日报》等主流媒体报道教师节表彰大会、深圳教育论坛颁奖、线上教学、返校复课等大事件近100余篇，学年内报送党政信息100余条，《当前义务教育教师工资待遇落实仍存“四大不完备”亟待引起重视》《调研发现全面开学复课疫情防控仍面临困难亟待关注》等3篇信息稿被国办、中办专刊采用，2019年市区级信息任务均超额完成，并收到两办点评表扬；处理舆情20余条，其中梅沙未来学校家长投诉老师体罚学生的舆情回应及时，处理妥当列入问政深圳十大红榜。</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（五）供给侧结构性改革加大优质资源供给</w:t>
      </w:r>
    </w:p>
    <w:p>
      <w:pPr>
        <w:spacing w:line="560" w:lineRule="exact"/>
        <w:ind w:firstLine="573"/>
        <w:rPr>
          <w:rFonts w:ascii="仿宋_GB2312" w:hAnsi="仿宋_GB2312" w:cs="仿宋_GB2312"/>
          <w:color w:val="000000"/>
          <w:szCs w:val="32"/>
        </w:rPr>
      </w:pPr>
      <w:r>
        <w:rPr>
          <w:rFonts w:hint="eastAsia" w:ascii="仿宋_GB2312" w:hAnsi="仿宋_GB2312" w:cs="仿宋_GB2312"/>
          <w:b/>
          <w:color w:val="000000"/>
          <w:szCs w:val="32"/>
        </w:rPr>
        <w:t>一是教师招聘严谨规范</w:t>
      </w:r>
      <w:r>
        <w:rPr>
          <w:rFonts w:hint="eastAsia" w:ascii="仿宋_GB2312" w:hAnsi="仿宋_GB2312" w:cs="仿宋_GB2312"/>
          <w:color w:val="000000"/>
          <w:szCs w:val="32"/>
        </w:rPr>
        <w:t>。本学年，面向全国选聘高层次人才16名、选聘优秀校长1名；招聘国内重点院校优秀应届毕业生71名，硕士研究生以上占比82%，是建区以来招聘规模最大、层次最高的一批毕业生；首次举办“云端”招聘面向社会公开招聘公办幼儿园工作人员24人，持续优化了我区教师队伍结构。招聘流程严密顺畅，招聘严谨规范，未发现一例有效上访投诉。</w:t>
      </w:r>
    </w:p>
    <w:p>
      <w:pPr>
        <w:spacing w:line="560" w:lineRule="exact"/>
        <w:ind w:firstLine="573"/>
        <w:rPr>
          <w:rFonts w:ascii="仿宋_GB2312" w:hAnsi="仿宋_GB2312" w:cs="仿宋_GB2312"/>
          <w:color w:val="000000"/>
          <w:szCs w:val="32"/>
        </w:rPr>
      </w:pPr>
      <w:r>
        <w:rPr>
          <w:rFonts w:hint="eastAsia" w:ascii="仿宋_GB2312" w:hAnsi="仿宋_GB2312" w:cs="仿宋_GB2312"/>
          <w:b/>
          <w:color w:val="000000"/>
          <w:szCs w:val="32"/>
        </w:rPr>
        <w:t>二是“定制”培训和科研提升综合素养。</w:t>
      </w:r>
      <w:r>
        <w:rPr>
          <w:rFonts w:hint="eastAsia" w:ascii="仿宋_GB2312" w:hAnsi="仿宋_GB2312" w:cs="仿宋_GB2312"/>
          <w:color w:val="000000"/>
          <w:szCs w:val="32"/>
        </w:rPr>
        <w:t>针对疫情，开展《如何进行直播教学》《手机录课》《中小学生心理危机识别与干预》等专题网络培训9600人次，2.5万学时，名师工作室联盟开展了“与名家大师共探教学”等多场线上专题培训，针对性开展“两三”的复习备考、新教材、教职工学写诗词等专题培训，促进了我区教师教育教学专业能力的提升。组织81个2020年度市级课题、110个区规划课题、15项广东省中小学科研能力提升计划“强师工程”课题、4项2020年度全国教育科学规划办课题、19项深圳市第四届教育教学科研成果申报，完成66个市级一般课题网上初评、上报工作。4项课题获广东省中小学科研能力提升计划“强师工程”省级课题立项，盐高、乐群实验小学荣获“深圳市第二批教科研基地学校”荣誉称号，区外国语小学、梅沙未来学校荣获深圳市“好课程”体系建设市级立项。龙西仔、马瑞执教的课例在全国青少年电子信息智能创新大赛中获一等奖，实验幼儿园荣获广东省三八红旗集体，盐港中学林琳在第二届广东省中小学青年教师教学能力大赛决赛中获第一名，王树宏校长获评深圳五一劳动奖章，学年内教师获市级及以上奖励167人次，其中国家、省、市级分别5、66、96人次；在市级及以上刊物发表论文（或出版专著）239篇（部）；其中国家、省、市级44、150、45篇（部）。</w:t>
      </w:r>
    </w:p>
    <w:p>
      <w:pPr>
        <w:spacing w:line="560" w:lineRule="exact"/>
        <w:ind w:firstLine="573"/>
        <w:rPr>
          <w:rFonts w:ascii="仿宋_GB2312" w:hAnsi="仿宋_GB2312" w:cs="仿宋_GB2312"/>
          <w:color w:val="000000"/>
          <w:szCs w:val="32"/>
        </w:rPr>
      </w:pPr>
      <w:r>
        <w:rPr>
          <w:rFonts w:hint="eastAsia" w:ascii="仿宋_GB2312" w:hAnsi="仿宋_GB2312" w:cs="仿宋_GB2312"/>
          <w:b/>
          <w:color w:val="000000"/>
          <w:szCs w:val="32"/>
        </w:rPr>
        <w:t>三是STEM教育和项目式学习成绩突出。</w:t>
      </w:r>
      <w:r>
        <w:rPr>
          <w:rFonts w:hint="eastAsia" w:ascii="仿宋_GB2312" w:hAnsi="仿宋_GB2312" w:cs="仿宋_GB2312"/>
          <w:color w:val="000000"/>
          <w:szCs w:val="32"/>
        </w:rPr>
        <w:t>我区STEM教育和项目式学习成绩突出，在2019年广东省STEM教育资源征集评选中，盐田区斩获4个一等奖，6个二等奖，6个三等奖，呈现获奖单位和获奖人员覆盖广两大亮点。在第四届STEM教育与项目式学习国际学术研讨会暨2019年项目式学习优秀项目展评活动中，我区项目式学习成果斩获9个一等奖，12个二等奖，区教科院荣获最佳区域奖（全国仅2个）。云海学校、乐群实验小学、区国外语小学、东和分校获评国际StarT项目式学习共同体2019年度最佳实验学校。</w:t>
      </w:r>
    </w:p>
    <w:p>
      <w:pPr>
        <w:spacing w:line="560" w:lineRule="exact"/>
        <w:ind w:firstLine="573"/>
        <w:rPr>
          <w:rFonts w:ascii="仿宋_GB2312" w:hAnsi="仿宋_GB2312" w:cs="仿宋_GB2312"/>
          <w:color w:val="000000"/>
          <w:szCs w:val="32"/>
        </w:rPr>
      </w:pPr>
      <w:r>
        <w:rPr>
          <w:rFonts w:hint="eastAsia" w:ascii="仿宋_GB2312" w:hAnsi="仿宋_GB2312" w:cs="仿宋_GB2312"/>
          <w:b/>
          <w:color w:val="000000"/>
          <w:szCs w:val="32"/>
        </w:rPr>
        <w:t>四是新扩建项目全力推进。</w:t>
      </w:r>
      <w:r>
        <w:rPr>
          <w:rFonts w:hint="eastAsia" w:ascii="仿宋_GB2312" w:hAnsi="仿宋_GB2312" w:cs="仿宋_GB2312"/>
          <w:color w:val="000000"/>
          <w:szCs w:val="32"/>
        </w:rPr>
        <w:t>中山学校、乐群实验小学综合体育馆、盐港小学综合楼及校门、区外国语学校和区外国语小学综合楼等改扩建项目抓紧施工中；田心小学、云海学校等扩建工程前期进展顺利；海心小学、海心幼儿园等新建项目已开工；机关幼儿园、田东中学教学楼拆除重建项目即将进场施工，中英街幼儿园拆除重建即将完成；深入研究了沙头角中学扩建、盐港中学教师宿舍和乐群实验小学教师宿舍置换、海涛花园城市更新项目贡献教育用地等学位挖潜项目的可行性，并与各职能局协调推进。</w:t>
      </w:r>
    </w:p>
    <w:p>
      <w:pPr>
        <w:spacing w:line="560" w:lineRule="exact"/>
        <w:ind w:firstLine="573"/>
        <w:rPr>
          <w:rFonts w:ascii="仿宋_GB2312" w:hAnsi="仿宋_GB2312" w:cs="仿宋_GB2312"/>
          <w:color w:val="000000"/>
          <w:szCs w:val="32"/>
        </w:rPr>
      </w:pPr>
      <w:r>
        <w:rPr>
          <w:rFonts w:hint="eastAsia" w:ascii="仿宋_GB2312" w:hAnsi="仿宋_GB2312" w:cs="仿宋_GB2312"/>
          <w:b/>
          <w:color w:val="000000"/>
          <w:szCs w:val="32"/>
        </w:rPr>
        <w:t>五是政府投资执行率高。</w:t>
      </w:r>
      <w:r>
        <w:rPr>
          <w:rFonts w:hint="eastAsia" w:ascii="仿宋_GB2312" w:hAnsi="仿宋_GB2312" w:cs="仿宋_GB2312"/>
          <w:color w:val="000000"/>
          <w:szCs w:val="32"/>
        </w:rPr>
        <w:t>2019年政府投资基建、教育专项等项目资金计1.59亿元，其中完成支付247个项目1.57亿元，完成率为98.75%。2020年政府投资及教育专项172个项目已完成方案设计、方案优化论证、项目立项、下达批文、招标等工作，暑期紧锣密鼓施工中。</w:t>
      </w:r>
    </w:p>
    <w:p>
      <w:pPr>
        <w:spacing w:line="560" w:lineRule="exact"/>
        <w:ind w:firstLine="624" w:firstLineChars="200"/>
        <w:rPr>
          <w:rFonts w:ascii="黑体" w:hAnsi="黑体" w:eastAsia="黑体"/>
          <w:szCs w:val="32"/>
        </w:rPr>
      </w:pPr>
      <w:r>
        <w:rPr>
          <w:rFonts w:hint="eastAsia" w:ascii="黑体" w:hAnsi="黑体" w:eastAsia="黑体"/>
          <w:szCs w:val="32"/>
        </w:rPr>
        <w:t>二、2020-2021学年度工作思路和重点工作</w:t>
      </w:r>
    </w:p>
    <w:p>
      <w:pPr>
        <w:spacing w:line="560" w:lineRule="exact"/>
        <w:ind w:firstLine="624" w:firstLineChars="200"/>
        <w:rPr>
          <w:rFonts w:hint="eastAsia" w:ascii="仿宋_GB2312" w:hAnsi="仿宋_GB2312" w:cs="仿宋_GB2312"/>
          <w:color w:val="000000"/>
          <w:szCs w:val="32"/>
        </w:rPr>
      </w:pPr>
      <w:r>
        <w:rPr>
          <w:rFonts w:hint="eastAsia" w:ascii="仿宋_GB2312" w:hAnsi="仿宋_GB2312" w:cs="仿宋_GB2312"/>
          <w:color w:val="000000"/>
          <w:szCs w:val="32"/>
        </w:rPr>
        <w:t>工作思路：</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color w:val="000000"/>
          <w:szCs w:val="32"/>
        </w:rPr>
        <w:t>以深入贯彻落实党的十九大和十九届二中、三中、四中全会精神，习近平总书记在全国教育大会和视察广东、深圳重要讲话精神为指引，紧紧围绕区委区政府的中心工作，以“幼有善育、学有优教”为目标，以提升教育领域治理能力为核心，坚持问题导向，补齐短板，积极推进教育现代化区域创新，加快推进智慧教育建设，促进教与学方式变革，为“产业兴盐”提供基础性支撑。</w:t>
      </w:r>
    </w:p>
    <w:p>
      <w:pPr>
        <w:spacing w:line="560" w:lineRule="exact"/>
        <w:ind w:firstLine="624" w:firstLineChars="200"/>
        <w:rPr>
          <w:rFonts w:ascii="仿宋_GB2312" w:hAnsi="仿宋_GB2312" w:cs="仿宋_GB2312"/>
          <w:szCs w:val="32"/>
        </w:rPr>
      </w:pPr>
      <w:r>
        <w:rPr>
          <w:rFonts w:hint="eastAsia" w:ascii="仿宋_GB2312" w:hAnsi="仿宋_GB2312" w:cs="仿宋_GB2312"/>
          <w:szCs w:val="32"/>
        </w:rPr>
        <w:t>具体做好以下工作：</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（一）加强党的领导，提升新时代党建质量</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1.强化党对教育领导。</w:t>
      </w:r>
      <w:r>
        <w:rPr>
          <w:rFonts w:hint="eastAsia" w:ascii="仿宋_GB2312" w:hAnsi="仿宋_GB2312" w:cs="仿宋_GB2312"/>
          <w:color w:val="000000"/>
          <w:szCs w:val="32"/>
        </w:rPr>
        <w:t>持续深入学习宣传贯彻党的十九大精神，用习近平总书记关于教育的重要论述</w:t>
      </w:r>
      <w:bookmarkStart w:id="3" w:name="_GoBack"/>
      <w:bookmarkEnd w:id="3"/>
      <w:r>
        <w:rPr>
          <w:rFonts w:hint="eastAsia" w:ascii="仿宋_GB2312" w:hAnsi="仿宋_GB2312" w:cs="仿宋_GB2312"/>
          <w:color w:val="000000"/>
          <w:szCs w:val="32"/>
        </w:rPr>
        <w:t>指导实践。落细落实党组“第一议题”、“三会一课”、主题党日、法规法纪等学习制度，深入推进法治建设，加强依法行政，完善区委教育工作领导小组议事规则和实施细则，深化、强化党对教育工作的领导，进一步加强群团组织建设强化凝心聚力，提升攻坚克难能力，高质量完成扶贫和对口交流合作任务。</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szCs w:val="32"/>
        </w:rPr>
        <w:t>2.夯实党支部基础。</w:t>
      </w:r>
      <w:r>
        <w:rPr>
          <w:rFonts w:hint="eastAsia" w:ascii="仿宋_GB2312" w:hAnsi="仿宋_GB2312" w:cs="仿宋_GB2312"/>
          <w:color w:val="000000"/>
          <w:szCs w:val="32"/>
        </w:rPr>
        <w:t>推进党支部分类定级提质晋级工作，以“实操化、项目化、规范化、信息化”推进支部工作标准化，夯实“标准+教育”党支部基础，努力形成“一个支部一个特色”充满生机活力的基层党建新格局。</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szCs w:val="32"/>
        </w:rPr>
        <w:t>3.落实党风廉政之责。</w:t>
      </w:r>
      <w:r>
        <w:rPr>
          <w:rFonts w:hint="eastAsia" w:ascii="仿宋_GB2312" w:hAnsi="仿宋_GB2312" w:cs="仿宋_GB2312"/>
          <w:color w:val="000000"/>
          <w:szCs w:val="32"/>
        </w:rPr>
        <w:t>充分发挥“深圳智慧党建平台”作用，利用信息化手段规范党员队伍教育管理。全面落实盐田区教育系统党风廉政建设主体责任，强化对校长权力运行的制约和监督。</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（二）规划发展路径，提升教育治理能力</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4.创建教育现代化区域创新试验区。</w:t>
      </w:r>
      <w:r>
        <w:rPr>
          <w:rFonts w:hint="eastAsia" w:ascii="仿宋_GB2312" w:hAnsi="仿宋_GB2312" w:cs="仿宋_GB2312"/>
          <w:color w:val="000000"/>
          <w:szCs w:val="32"/>
        </w:rPr>
        <w:t>组织专家开展调研和下校指导，制定项目实施方案，推动第一年重点项目落地，组织参与教育现代化试验区联席会议，将现有经验做法进一步总结、提炼、完善、推广，巩固扩张我区推进教育现代化建设的成果。</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5.编制 “十四五”发展规划。</w:t>
      </w:r>
      <w:r>
        <w:rPr>
          <w:rFonts w:hint="eastAsia" w:ascii="仿宋_GB2312" w:hAnsi="仿宋_GB2312" w:cs="仿宋_GB2312"/>
          <w:color w:val="000000"/>
          <w:szCs w:val="32"/>
        </w:rPr>
        <w:t>以先行示范为标准，实现前瞻布局、明确工作目标、落实工作责任，有序推进盐田高质量发展。全面梳理教育“十三五”规划落实情况，确保年底全部“交账”，表彰一批先进典型，评选一批标志性事件，汇编一批优秀成果。</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bCs/>
          <w:color w:val="000000"/>
          <w:szCs w:val="32"/>
        </w:rPr>
        <w:t>6.加强教育督导提升督导实效。</w:t>
      </w:r>
      <w:r>
        <w:rPr>
          <w:rFonts w:hint="eastAsia" w:ascii="仿宋_GB2312" w:hAnsi="仿宋_GB2312" w:cs="仿宋_GB2312"/>
          <w:color w:val="000000"/>
          <w:szCs w:val="32"/>
        </w:rPr>
        <w:t>积极落实整改我区2018年履行教育职责评价中发现的问题，做好监测结果问题分析与结果应用工作，加强教育事业报表等数据的申报和管理，做好2019省政府对区政府履行教育职责评价工作、2021年国家义务教育质量监测等工作，落实转型园的等级评估认定等各类督导评估工作，开展学前教育质量监测、新一届区级督学和评估专家的聘任工作，加强督学队伍建设，提升教育督导实效。</w:t>
      </w:r>
    </w:p>
    <w:p>
      <w:pPr>
        <w:spacing w:line="560" w:lineRule="exact"/>
        <w:ind w:firstLine="624" w:firstLineChars="200"/>
        <w:rPr>
          <w:rFonts w:ascii="仿宋_GB2312" w:hAnsi="仿宋_GB2312" w:cs="仿宋_GB2312"/>
          <w:b/>
          <w:color w:val="000000"/>
          <w:szCs w:val="32"/>
        </w:rPr>
      </w:pPr>
      <w:r>
        <w:rPr>
          <w:rFonts w:hint="eastAsia" w:ascii="仿宋_GB2312" w:hAnsi="仿宋_GB2312" w:cs="仿宋_GB2312"/>
          <w:b/>
          <w:color w:val="000000"/>
          <w:szCs w:val="32"/>
        </w:rPr>
        <w:t>7.科学规划学位和做好招生考试服务。</w:t>
      </w:r>
      <w:r>
        <w:rPr>
          <w:rFonts w:hint="eastAsia" w:ascii="仿宋_GB2312" w:hAnsi="仿宋_GB2312" w:cs="仿宋_GB2312"/>
          <w:color w:val="000000"/>
          <w:szCs w:val="32"/>
        </w:rPr>
        <w:t>科学预测2021年学位需求，强化对辖区的规划、更新项目的教育配套规划的监督和引领，提前布局全区义务教育阶段学校规划和布点工作，研究田心市场片区城市更新单元等多个更新项目的教育配套方案，严格执行招生政策，确保符合就读条件和具备随班就读条件的适龄特殊儿童100%就读公办校，做好中考、高考、学业水平考等各类考试的组织服务，确保零差错、零疏漏、零投诉。</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8.提升风险防控能力守住安全稳定底线。</w:t>
      </w:r>
      <w:r>
        <w:rPr>
          <w:rFonts w:hint="eastAsia" w:ascii="仿宋_GB2312" w:hAnsi="仿宋_GB2312" w:cs="仿宋_GB2312"/>
          <w:color w:val="000000"/>
          <w:szCs w:val="32"/>
        </w:rPr>
        <w:t>继续打好抗击新型冠状病毒肺炎疫情攻坚战，推进平安校园建设，构建职责明确、监督有力、防控到位的学校安全风险防控和处置体系，实现风险评估评价、制定管控措施、编制风险清单、分级管控、隐患排查治理、安全教育培训等闭环式管理，确保教育系统政治稳定和校园安全。充分发挥新闻和宣传的舆论导向作用，突出重点、主动发声，强化正面舆论宣传。</w:t>
      </w:r>
    </w:p>
    <w:p>
      <w:pPr>
        <w:spacing w:line="560" w:lineRule="exact"/>
        <w:ind w:firstLine="624" w:firstLineChars="200"/>
        <w:rPr>
          <w:rFonts w:ascii="楷体_GB2312" w:hAnsi="楷体_GB2312" w:eastAsia="楷体_GB2312" w:cs="楷体_GB2312"/>
          <w:szCs w:val="32"/>
        </w:rPr>
      </w:pPr>
      <w:r>
        <w:rPr>
          <w:rFonts w:hint="eastAsia" w:ascii="楷体_GB2312" w:hAnsi="楷体_GB2312" w:eastAsia="楷体_GB2312" w:cs="楷体_GB2312"/>
          <w:szCs w:val="32"/>
        </w:rPr>
        <w:t>（三）推进关键环节改革，打造盐田教育品牌</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9.实施“领雁”工程，加大优质师资供给。</w:t>
      </w:r>
      <w:r>
        <w:rPr>
          <w:rFonts w:hint="eastAsia" w:ascii="仿宋_GB2312" w:hAnsi="仿宋_GB2312" w:cs="仿宋_GB2312"/>
          <w:color w:val="000000"/>
          <w:szCs w:val="32"/>
        </w:rPr>
        <w:t>启动区教师发展中心建设，开展好第九轮人事制度改革，完成《盐田区教育系统人才引进和扶持办法》修订，合理引进各层次人才，制订《盐田区高层次人才区内教研制度》，举办第三届“四有杯”比赛，开设好“盐田大讲坛”，深入推动“领雁工程”，通过名师“存量+增量”的模式，壮大名师群体、优化人才结构，为办学品质提升提供智力支撑。</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10.抓好“一校一品”工程，做强盐田基础教育品牌。</w:t>
      </w:r>
      <w:r>
        <w:rPr>
          <w:rFonts w:hint="eastAsia" w:ascii="仿宋_GB2312" w:hAnsi="仿宋_GB2312" w:cs="仿宋_GB2312"/>
          <w:color w:val="000000"/>
          <w:szCs w:val="32"/>
        </w:rPr>
        <w:t>制定《盐田区中小学一流学科建设指引》，培育一批在市、区有影响的基础教育一流学科组及全区一流学科，依据《盐田区中小学品牌项目创建实施方案》，持续推进“一校一品”工程，推出一批特色学校品牌项目，提炼区外国语小学、区外国语学校外语特色，打造云海、梅沙未来学校项目式学习、乐群实验小学跨学科整合示范校，全力支持盐高建设全市首批科技特色高中、盐港“一校两牌”艺体特色综合高中，打造一批在深圳叫得响的品牌学校。</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11.开展“智慧教育”工程，提炼新型教学模式。</w:t>
      </w:r>
      <w:r>
        <w:rPr>
          <w:rFonts w:hint="eastAsia" w:ascii="仿宋_GB2312" w:hAnsi="仿宋_GB2312" w:cs="仿宋_GB2312"/>
          <w:color w:val="000000"/>
          <w:szCs w:val="32"/>
        </w:rPr>
        <w:t>与华为、腾讯、平安等科技企业合作，推进5G、4K、MR/VR/AR、大数据、云计算等新技术广泛应用于校园，构建区域“人工智能+”智慧教育生态系统，重点做好“智慧教育”总包项目中梅沙未来学校信息化和教师发展中心信息化项目的推进与实施，完成16所学校智慧校园需求调研及设计，推进智慧教学云平台、服务平台、资源服务平台建设，认真做好深圳市承担的教育部“基于教学改革、融合信息技术的新型教与学模式”实验区相关实验工作，全面开展智慧教育生态环境下慕课、微课、翻转课堂等新型教学模式的试点与推广，促进教与学方式转变。</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12.实施重点课题研究，形成跨学科学习“盐田经验”。</w:t>
      </w:r>
      <w:r>
        <w:rPr>
          <w:rFonts w:hint="eastAsia" w:ascii="仿宋_GB2312" w:hAnsi="仿宋_GB2312" w:cs="仿宋_GB2312"/>
          <w:color w:val="000000"/>
          <w:szCs w:val="32"/>
        </w:rPr>
        <w:t>做好教育部重点课题《基于STEM教育理念的跨学科学习模式区域实践研究》《基础教育阶段人才培养模式创新的实践研究》，形成跨学科学习的“盐田经验”，选择优秀项目参与2021国际StarT项目评选，做好深圳市中小学探究性小课题结题验收、盐田区2018年度市区课题结题验收等重点项目工作。</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13.扎实推动“课堂革命”，探索育人新机制</w:t>
      </w:r>
      <w:r>
        <w:rPr>
          <w:rFonts w:hint="eastAsia" w:ascii="仿宋_GB2312" w:hAnsi="仿宋_GB2312" w:cs="仿宋_GB2312"/>
          <w:color w:val="000000"/>
          <w:szCs w:val="32"/>
        </w:rPr>
        <w:t>。以新中高考的人才培养方向重塑小学、初中的课程体系及育人方式，探索建立“1+8+N”（1个教育生态云+8大学习中心+N项特色课程）的创新育人新样态机制，扎实推动“课堂革命”，以课堂变革激发师生潜力。</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14.实施“心育”活动，打造 “六大育人”品牌项目。</w:t>
      </w:r>
      <w:r>
        <w:rPr>
          <w:rFonts w:hint="eastAsia" w:ascii="仿宋_GB2312" w:hAnsi="仿宋_GB2312" w:cs="仿宋_GB2312"/>
          <w:color w:val="000000"/>
          <w:szCs w:val="32"/>
        </w:rPr>
        <w:t>结合今年疫情防控，讲好抗疫故事，采取鲜活多样的方式方法开展爱国主义教育，激发学生爱国爱党情怀。持续推进第六届全国文明城市、健康促进学校创建工作，提前做好迎接现场测评各项准备工作，确保高质量通过上级督导评审。落实《盐田区中小学心理健康教育工作发展规划（2017—2020年）》，开展丰富多彩的心育活动。持续推动建立全员全程心理危机排查和干预体系全方位育人体制机制，凝练一批 “六大育人”（课程、文化、活动、管理、实践和家校协同育人）品牌项目和示范学校。</w:t>
      </w:r>
    </w:p>
    <w:p>
      <w:pPr>
        <w:spacing w:line="560" w:lineRule="exact"/>
        <w:ind w:firstLine="624" w:firstLineChars="200"/>
        <w:rPr>
          <w:rFonts w:ascii="楷体_GB2312" w:hAnsi="楷体_GB2312" w:eastAsia="楷体_GB2312" w:cs="楷体_GB2312"/>
          <w:color w:val="FF0000"/>
          <w:szCs w:val="32"/>
        </w:rPr>
      </w:pPr>
      <w:r>
        <w:rPr>
          <w:rFonts w:hint="eastAsia" w:ascii="楷体_GB2312" w:hAnsi="楷体_GB2312" w:eastAsia="楷体_GB2312" w:cs="楷体_GB2312"/>
          <w:szCs w:val="32"/>
        </w:rPr>
        <w:t>（四）加快推进学位建设，提升优质服务供给</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15.持续加大优质学前学位供给。</w:t>
      </w:r>
      <w:r>
        <w:rPr>
          <w:rFonts w:hint="eastAsia" w:ascii="仿宋_GB2312" w:hAnsi="仿宋_GB2312" w:cs="仿宋_GB2312"/>
          <w:color w:val="000000"/>
          <w:szCs w:val="32"/>
        </w:rPr>
        <w:t>确保盐港园、星星海分园两园分别于2021年春季和秋季开办，新增450个公办学位；加快推进佳兆业山海四季城二期配套园建设，确保2021年投入使用，新增360个学位。积极鼓励社会力量，突破原有场地条件的限制，拟新增优质民办学位近660个。</w:t>
      </w:r>
    </w:p>
    <w:p>
      <w:pPr>
        <w:spacing w:line="560" w:lineRule="exact"/>
        <w:ind w:firstLine="624" w:firstLineChars="200"/>
        <w:rPr>
          <w:rFonts w:ascii="仿宋_GB2312" w:hAnsi="仿宋_GB2312" w:cs="仿宋_GB2312"/>
          <w:szCs w:val="32"/>
        </w:rPr>
      </w:pPr>
      <w:r>
        <w:rPr>
          <w:rFonts w:hint="eastAsia" w:ascii="仿宋_GB2312" w:hAnsi="仿宋_GB2312" w:cs="仿宋_GB2312"/>
          <w:b/>
          <w:kern w:val="0"/>
          <w:szCs w:val="32"/>
        </w:rPr>
        <w:t>16.全面提升学前教育品质。</w:t>
      </w:r>
      <w:r>
        <w:rPr>
          <w:rFonts w:hint="eastAsia" w:ascii="仿宋_GB2312" w:hAnsi="仿宋_GB2312" w:cs="仿宋_GB2312"/>
          <w:color w:val="000000"/>
          <w:szCs w:val="32"/>
        </w:rPr>
        <w:t>通过常态化的分层教研、联动教研、示范园辐射、观摩交流学习、专家引领等措施，实现优质教育资源共享，同时加强挂牌督导对学前保教质量监测，实行指标化、网络化、动态化管理，提升我区学前教育品质。根据我区实际，有针对性地借外力、增优势，开展本土融合教育研究，有效推进学前教育国际化，并选择区内公民办有条件的幼儿园开展托幼一体、幼小衔接、国际化项目试点工作和特色化教育本土实践。</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kern w:val="0"/>
          <w:szCs w:val="32"/>
        </w:rPr>
        <w:t>17.加快推进教育建设项目。</w:t>
      </w:r>
      <w:r>
        <w:rPr>
          <w:rFonts w:hint="eastAsia" w:ascii="仿宋_GB2312" w:hAnsi="仿宋_GB2312" w:cs="仿宋_GB2312"/>
          <w:color w:val="000000"/>
          <w:szCs w:val="32"/>
        </w:rPr>
        <w:t>推进区外国语学校、盐港小学、区外国语小学等综合楼在建扩建施工进度，稳步推进田心小学、云海学校、沙头角中学等扩建项目，加快实施机关幼儿园、田东中学教学楼等拆除重建项目，抓好海心小学等新建项目协调工作。做好盐港、教科院、星星海和中英街等幼儿园，中山纪念学校、乐群小学综合体育馆二次装修及设施设备购置相关工作，全力推进区属学校节水设备改造、幼儿园安全监控系统等2020年政府投资及教育专项项目的实施。</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18.提高预算支出执行率。</w:t>
      </w:r>
      <w:r>
        <w:rPr>
          <w:rFonts w:hint="eastAsia" w:ascii="仿宋_GB2312" w:hAnsi="仿宋_GB2312" w:cs="仿宋_GB2312"/>
          <w:color w:val="000000"/>
          <w:szCs w:val="32"/>
        </w:rPr>
        <w:t>2020年我局预算14.28亿元，占全区总预算18%。按月召开教育系统支出进度推进会和支出通报，按月汇总各校、下属事业单位支出表并上报财政，对未达到支出进度的单位实行倒查。</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19.凝聚团工青妇成合力。</w:t>
      </w:r>
      <w:r>
        <w:rPr>
          <w:rFonts w:hint="eastAsia" w:ascii="仿宋_GB2312" w:hAnsi="仿宋_GB2312" w:cs="仿宋_GB2312"/>
          <w:color w:val="000000"/>
          <w:szCs w:val="32"/>
        </w:rPr>
        <w:t>继续做好扶贫工作，迎接省市县各级扶贫验收，做好扶贫扫尾收官工作，做好红色文化村二期巩固工作和扶贫向新农村建设过渡工作。工会继续组织好排球比赛等文体活动，开展青年联谊活动。发挥妇委会作用，关心、爱护、保障女教工权益。各校团支部要以社团为抓手，积极开展各类活动，助力青年教师成长。</w:t>
      </w:r>
    </w:p>
    <w:p>
      <w:pPr>
        <w:spacing w:line="560" w:lineRule="exact"/>
        <w:ind w:firstLine="624" w:firstLineChars="200"/>
        <w:rPr>
          <w:rFonts w:ascii="仿宋_GB2312" w:hAnsi="仿宋_GB2312" w:cs="仿宋_GB2312"/>
          <w:color w:val="000000"/>
          <w:szCs w:val="32"/>
        </w:rPr>
      </w:pPr>
      <w:r>
        <w:rPr>
          <w:rFonts w:hint="eastAsia" w:ascii="仿宋_GB2312" w:hAnsi="仿宋_GB2312" w:cs="仿宋_GB2312"/>
          <w:b/>
          <w:color w:val="000000"/>
          <w:szCs w:val="32"/>
        </w:rPr>
        <w:t>20.树盐田教育新形象。</w:t>
      </w:r>
      <w:r>
        <w:rPr>
          <w:rFonts w:hint="eastAsia" w:ascii="仿宋_GB2312" w:hAnsi="仿宋_GB2312" w:cs="仿宋_GB2312"/>
          <w:color w:val="000000"/>
          <w:szCs w:val="32"/>
        </w:rPr>
        <w:t>各科室、校（园）要重视宣传报道和信息报送工作。加强通讯员队伍培训，利用LED屏、网络、报刊、电台，特别是微信等现代媒体，及时、准确、全面地宣传盐田教育的大事件、新亮点，展示盐田教育的新成就、新风貌，树立盐田教育新形象。</w:t>
      </w:r>
    </w:p>
    <w:p>
      <w:pPr>
        <w:spacing w:before="286" w:beforeLines="50" w:line="560" w:lineRule="exact"/>
        <w:ind w:firstLine="624" w:firstLineChars="200"/>
        <w:rPr>
          <w:rFonts w:ascii="仿宋_GB2312" w:hAnsi="仿宋_GB2312" w:cs="仿宋_GB2312"/>
          <w:color w:val="000000"/>
          <w:szCs w:val="32"/>
        </w:rPr>
      </w:pPr>
      <w:r>
        <w:rPr>
          <w:rFonts w:hint="eastAsia" w:ascii="仿宋_GB2312" w:hAnsi="仿宋_GB2312" w:cs="仿宋_GB2312"/>
          <w:color w:val="000000"/>
          <w:szCs w:val="32"/>
        </w:rPr>
        <w:t>盐田教育将全面贯彻落实区委的决策部署，狠抓薄弱环节，迎难而上，锐意进取，统筹推进疫情防控和教育高质量发展，确保“十三五”顺利收官和“十四五”良好开局，加快建成宜居宜业宜游的现代化国际化创新型滨海城区，以优异成绩向深圳经济特区建立40周年献礼！</w:t>
      </w:r>
    </w:p>
    <w:tbl>
      <w:tblPr>
        <w:tblStyle w:val="10"/>
        <w:tblpPr w:leftFromText="180" w:rightFromText="180" w:vertAnchor="text" w:horzAnchor="page" w:tblpX="1447" w:tblpY="1987"/>
        <w:tblW w:w="8833" w:type="dxa"/>
        <w:tblInd w:w="0"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236"/>
        <w:gridCol w:w="3597"/>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c>
          <w:tcPr>
            <w:tcW w:w="5236" w:type="dxa"/>
            <w:tcBorders>
              <w:top w:val="single" w:color="auto" w:sz="4" w:space="0"/>
              <w:left w:val="nil"/>
              <w:bottom w:val="single" w:color="auto" w:sz="4" w:space="0"/>
              <w:right w:val="nil"/>
            </w:tcBorders>
          </w:tcPr>
          <w:p>
            <w:pPr>
              <w:ind w:left="294"/>
              <w:rPr>
                <w:rFonts w:ascii="仿宋_GB2312"/>
                <w:sz w:val="28"/>
                <w:szCs w:val="28"/>
              </w:rPr>
            </w:pPr>
            <w:r>
              <w:rPr>
                <w:rFonts w:hint="eastAsia" w:ascii="仿宋_GB2312"/>
                <w:sz w:val="28"/>
                <w:szCs w:val="28"/>
              </w:rPr>
              <w:t>深圳市盐田区教育局办公室</w:t>
            </w:r>
          </w:p>
        </w:tc>
        <w:tc>
          <w:tcPr>
            <w:tcW w:w="3597" w:type="dxa"/>
            <w:tcBorders>
              <w:top w:val="single" w:color="auto" w:sz="4" w:space="0"/>
              <w:left w:val="nil"/>
              <w:bottom w:val="single" w:color="auto" w:sz="4" w:space="0"/>
              <w:right w:val="nil"/>
            </w:tcBorders>
          </w:tcPr>
          <w:p>
            <w:pPr>
              <w:ind w:right="298"/>
              <w:jc w:val="right"/>
              <w:rPr>
                <w:rFonts w:ascii="仿宋_GB2312"/>
                <w:sz w:val="28"/>
                <w:szCs w:val="28"/>
              </w:rPr>
            </w:pPr>
            <w:r>
              <w:rPr>
                <w:rFonts w:hint="eastAsia" w:ascii="仿宋_GB2312"/>
                <w:sz w:val="28"/>
                <w:szCs w:val="28"/>
              </w:rPr>
              <w:t>2020年9月14日印发</w:t>
            </w:r>
          </w:p>
        </w:tc>
      </w:tr>
    </w:tbl>
    <w:p>
      <w:pPr>
        <w:spacing w:line="20" w:lineRule="atLeast"/>
        <w:rPr>
          <w:rFonts w:ascii="仿宋_GB2312" w:hAnsiTheme="minorHAnsi" w:cstheme="minorBidi"/>
          <w:sz w:val="11"/>
          <w:szCs w:val="11"/>
        </w:rPr>
      </w:pPr>
    </w:p>
    <w:sectPr>
      <w:footerReference r:id="rId3" w:type="default"/>
      <w:footerReference r:id="rId4" w:type="even"/>
      <w:pgSz w:w="11906" w:h="16838"/>
      <w:pgMar w:top="2098" w:right="1474" w:bottom="1985" w:left="1588" w:header="851" w:footer="1361" w:gutter="0"/>
      <w:cols w:space="425" w:num="1"/>
      <w:docGrid w:type="linesAndChars" w:linePitch="573" w:charSpace="-18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文鼎小标宋简">
    <w:altName w:val="微软雅黑"/>
    <w:panose1 w:val="00000000000000000000"/>
    <w:charset w:val="86"/>
    <w:family w:val="modern"/>
    <w:pitch w:val="default"/>
    <w:sig w:usb0="00000000" w:usb1="00000000" w:usb2="00000000" w:usb3="00000000" w:csb0="00000000" w:csb1="00000000"/>
  </w:font>
  <w:font w:name="方正小标宋简体">
    <w:altName w:val="黑体"/>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 w:val="clear" w:pos="8306"/>
      </w:tabs>
      <w:ind w:left="350" w:right="360"/>
      <w:jc w:val="right"/>
    </w:pPr>
    <w:r>
      <w:rPr>
        <w:rStyle w:val="13"/>
        <w:rFonts w:hint="eastAsia"/>
      </w:rPr>
      <w:t>－</w:t>
    </w:r>
    <w:r>
      <w:rPr>
        <w:rStyle w:val="13"/>
      </w:rPr>
      <w:fldChar w:fldCharType="begin"/>
    </w:r>
    <w:r>
      <w:rPr>
        <w:rStyle w:val="13"/>
      </w:rPr>
      <w:instrText xml:space="preserve"> PAGE </w:instrText>
    </w:r>
    <w:r>
      <w:rPr>
        <w:rStyle w:val="13"/>
      </w:rPr>
      <w:fldChar w:fldCharType="separate"/>
    </w:r>
    <w:r>
      <w:rPr>
        <w:rStyle w:val="13"/>
      </w:rPr>
      <w:t>11</w:t>
    </w:r>
    <w:r>
      <w:rPr>
        <w:rStyle w:val="13"/>
      </w:rPr>
      <w:fldChar w:fldCharType="end"/>
    </w:r>
    <w:r>
      <w:rPr>
        <w:rStyle w:val="13"/>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 w:val="clear" w:pos="8306"/>
      </w:tabs>
      <w:ind w:left="350" w:right="360"/>
    </w:pPr>
    <w:r>
      <w:rPr>
        <w:rStyle w:val="13"/>
        <w:rFonts w:hint="eastAsia"/>
      </w:rPr>
      <w:t>－</w:t>
    </w:r>
    <w:r>
      <w:rPr>
        <w:rStyle w:val="13"/>
      </w:rPr>
      <w:fldChar w:fldCharType="begin"/>
    </w:r>
    <w:r>
      <w:rPr>
        <w:rStyle w:val="13"/>
      </w:rPr>
      <w:instrText xml:space="preserve"> PAGE </w:instrText>
    </w:r>
    <w:r>
      <w:rPr>
        <w:rStyle w:val="13"/>
      </w:rPr>
      <w:fldChar w:fldCharType="separate"/>
    </w:r>
    <w:r>
      <w:rPr>
        <w:rStyle w:val="13"/>
      </w:rPr>
      <w:t>10</w:t>
    </w:r>
    <w:r>
      <w:rPr>
        <w:rStyle w:val="13"/>
      </w:rPr>
      <w:fldChar w:fldCharType="end"/>
    </w:r>
    <w:r>
      <w:rPr>
        <w:rStyle w:val="13"/>
        <w:rFonts w:hint="eastAsia"/>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mirrorMargins w:val="1"/>
  <w:bordersDoNotSurroundHeader w:val="0"/>
  <w:bordersDoNotSurroundFooter w:val="0"/>
  <w:attachedTemplate r:id="rId1"/>
  <w:documentProtection w:enforcement="0"/>
  <w:defaultTabStop w:val="425"/>
  <w:evenAndOddHeaders w:val="1"/>
  <w:drawingGridHorizontalSpacing w:val="311"/>
  <w:drawingGridVerticalSpacing w:val="573"/>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DAwZTIxMzFjZDc4NmFkNzY1ZjFhNDRmNjRiMTYifQ=="/>
    <w:docVar w:name="KGWebUrl" w:val="http://csfile.szoa.sz.gov.cn//file/uploadDfsTaohong?fileSrcName=2020_07_21_16_37_26_9288094C9B60EB114521AD895C118C82.docx&amp;userId=2E7671E655624396F687ACF73DC93967&amp;moduleName=gongwen&amp;rantime=0.012812173629378254&amp;cldid=9288094C9B60EB114521AD895C118C82&amp;identityId=2E7671E655624396F687ACF73DC93967&amp;wjbh=B202003569&amp;hddyid=LCA010001_HD_01"/>
  </w:docVars>
  <w:rsids>
    <w:rsidRoot w:val="008630ED"/>
    <w:rsid w:val="00067CFB"/>
    <w:rsid w:val="00083BCE"/>
    <w:rsid w:val="000F39B4"/>
    <w:rsid w:val="001C3B35"/>
    <w:rsid w:val="00224C0A"/>
    <w:rsid w:val="00230DD8"/>
    <w:rsid w:val="002A70AA"/>
    <w:rsid w:val="002E7D61"/>
    <w:rsid w:val="002F0AE9"/>
    <w:rsid w:val="003076EB"/>
    <w:rsid w:val="003259D7"/>
    <w:rsid w:val="0039204A"/>
    <w:rsid w:val="003A0382"/>
    <w:rsid w:val="003C7245"/>
    <w:rsid w:val="003F6902"/>
    <w:rsid w:val="00444942"/>
    <w:rsid w:val="004571F6"/>
    <w:rsid w:val="004948A4"/>
    <w:rsid w:val="004A351C"/>
    <w:rsid w:val="00572F21"/>
    <w:rsid w:val="005C16F5"/>
    <w:rsid w:val="005C4704"/>
    <w:rsid w:val="005D13FC"/>
    <w:rsid w:val="005F04AB"/>
    <w:rsid w:val="006A7968"/>
    <w:rsid w:val="00706FE9"/>
    <w:rsid w:val="00713003"/>
    <w:rsid w:val="00744232"/>
    <w:rsid w:val="0075493D"/>
    <w:rsid w:val="00767908"/>
    <w:rsid w:val="007A4A7D"/>
    <w:rsid w:val="007B6789"/>
    <w:rsid w:val="007D14E2"/>
    <w:rsid w:val="008630ED"/>
    <w:rsid w:val="0086768C"/>
    <w:rsid w:val="00894879"/>
    <w:rsid w:val="008F110A"/>
    <w:rsid w:val="0091427B"/>
    <w:rsid w:val="00942CE9"/>
    <w:rsid w:val="009802C9"/>
    <w:rsid w:val="00982A61"/>
    <w:rsid w:val="009A6C75"/>
    <w:rsid w:val="009C2076"/>
    <w:rsid w:val="009C6CFE"/>
    <w:rsid w:val="009D1C81"/>
    <w:rsid w:val="00A02330"/>
    <w:rsid w:val="00A20454"/>
    <w:rsid w:val="00A2348D"/>
    <w:rsid w:val="00A326B3"/>
    <w:rsid w:val="00AB7245"/>
    <w:rsid w:val="00AC07A3"/>
    <w:rsid w:val="00AC42A6"/>
    <w:rsid w:val="00B0374D"/>
    <w:rsid w:val="00B44403"/>
    <w:rsid w:val="00B61A7F"/>
    <w:rsid w:val="00BE0D9C"/>
    <w:rsid w:val="00C136AF"/>
    <w:rsid w:val="00C23442"/>
    <w:rsid w:val="00C960F4"/>
    <w:rsid w:val="00C9770B"/>
    <w:rsid w:val="00CA37E6"/>
    <w:rsid w:val="00DA7977"/>
    <w:rsid w:val="00DB7526"/>
    <w:rsid w:val="00DD4B47"/>
    <w:rsid w:val="00DE7626"/>
    <w:rsid w:val="00DF314C"/>
    <w:rsid w:val="00E168AF"/>
    <w:rsid w:val="00E455E6"/>
    <w:rsid w:val="00E45D65"/>
    <w:rsid w:val="00EE2B3D"/>
    <w:rsid w:val="00EE6166"/>
    <w:rsid w:val="00EF28C3"/>
    <w:rsid w:val="00F47F4D"/>
    <w:rsid w:val="00F85170"/>
    <w:rsid w:val="00F94D6F"/>
    <w:rsid w:val="00FD2FA9"/>
    <w:rsid w:val="02F54278"/>
    <w:rsid w:val="08DB2BBC"/>
    <w:rsid w:val="0C231A75"/>
    <w:rsid w:val="12756F31"/>
    <w:rsid w:val="128050D0"/>
    <w:rsid w:val="12DF3BB8"/>
    <w:rsid w:val="144247C6"/>
    <w:rsid w:val="15544421"/>
    <w:rsid w:val="172E3CD2"/>
    <w:rsid w:val="1A2969D9"/>
    <w:rsid w:val="21914F48"/>
    <w:rsid w:val="24E90117"/>
    <w:rsid w:val="27AD1F95"/>
    <w:rsid w:val="2BE6284A"/>
    <w:rsid w:val="320F6295"/>
    <w:rsid w:val="33E82C69"/>
    <w:rsid w:val="34BD2952"/>
    <w:rsid w:val="354E4B04"/>
    <w:rsid w:val="37B531D3"/>
    <w:rsid w:val="38EA458A"/>
    <w:rsid w:val="3B1615A9"/>
    <w:rsid w:val="3FE269F1"/>
    <w:rsid w:val="45C750C1"/>
    <w:rsid w:val="476B21FB"/>
    <w:rsid w:val="4814574D"/>
    <w:rsid w:val="4A216377"/>
    <w:rsid w:val="4BAD13EB"/>
    <w:rsid w:val="4DA32382"/>
    <w:rsid w:val="510B5B2C"/>
    <w:rsid w:val="51B9589C"/>
    <w:rsid w:val="51CA0D8B"/>
    <w:rsid w:val="53896B83"/>
    <w:rsid w:val="540E16B4"/>
    <w:rsid w:val="544A7F4C"/>
    <w:rsid w:val="54EF3F46"/>
    <w:rsid w:val="55720786"/>
    <w:rsid w:val="55760871"/>
    <w:rsid w:val="55D47767"/>
    <w:rsid w:val="562E1D92"/>
    <w:rsid w:val="59DC2626"/>
    <w:rsid w:val="5D147F54"/>
    <w:rsid w:val="5E0C4813"/>
    <w:rsid w:val="5E7A7D7D"/>
    <w:rsid w:val="644B1AC1"/>
    <w:rsid w:val="67980242"/>
    <w:rsid w:val="67BD7AA5"/>
    <w:rsid w:val="6DE9528B"/>
    <w:rsid w:val="71E85FE7"/>
    <w:rsid w:val="735E7FAC"/>
    <w:rsid w:val="74FA7E5E"/>
    <w:rsid w:val="76A606E2"/>
    <w:rsid w:val="78F23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paragraph" w:styleId="3">
    <w:name w:val="heading 2"/>
    <w:basedOn w:val="1"/>
    <w:next w:val="4"/>
    <w:qFormat/>
    <w:uiPriority w:val="0"/>
    <w:pPr>
      <w:keepNext/>
      <w:keepLines/>
      <w:spacing w:before="260" w:after="260" w:line="416" w:lineRule="auto"/>
      <w:outlineLvl w:val="1"/>
    </w:pPr>
    <w:rPr>
      <w:rFonts w:ascii="Arial" w:hAnsi="Arial" w:eastAsia="黑体"/>
      <w:b/>
    </w:rPr>
  </w:style>
  <w:style w:type="paragraph" w:styleId="5">
    <w:name w:val="heading 3"/>
    <w:basedOn w:val="1"/>
    <w:next w:val="4"/>
    <w:qFormat/>
    <w:uiPriority w:val="0"/>
    <w:pPr>
      <w:keepNext/>
      <w:keepLines/>
      <w:spacing w:before="1000" w:after="400"/>
      <w:jc w:val="center"/>
      <w:outlineLvl w:val="2"/>
    </w:pPr>
    <w:rPr>
      <w:rFonts w:ascii="文鼎小标宋简" w:eastAsia="文鼎小标宋简"/>
      <w:sz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630"/>
    </w:pPr>
    <w:rPr>
      <w:kern w:val="0"/>
    </w:rPr>
  </w:style>
  <w:style w:type="paragraph" w:styleId="6">
    <w:name w:val="Date"/>
    <w:basedOn w:val="1"/>
    <w:next w:val="1"/>
    <w:qFormat/>
    <w:uiPriority w:val="0"/>
  </w:style>
  <w:style w:type="paragraph" w:styleId="7">
    <w:name w:val="Balloon Text"/>
    <w:basedOn w:val="1"/>
    <w:link w:val="18"/>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qFormat/>
    <w:uiPriority w:val="0"/>
    <w:rPr>
      <w:rFonts w:eastAsia="宋体"/>
      <w:sz w:val="28"/>
    </w:rPr>
  </w:style>
  <w:style w:type="paragraph" w:customStyle="1" w:styleId="14">
    <w:name w:val="主题词"/>
    <w:basedOn w:val="1"/>
    <w:qFormat/>
    <w:uiPriority w:val="0"/>
    <w:pPr>
      <w:framePr w:wrap="notBeside" w:vAnchor="margin" w:hAnchor="margin" w:yAlign="bottom"/>
      <w:ind w:left="1246" w:hanging="1246"/>
    </w:pPr>
    <w:rPr>
      <w:rFonts w:eastAsia="文鼎小标宋简"/>
    </w:rPr>
  </w:style>
  <w:style w:type="paragraph" w:customStyle="1" w:styleId="15">
    <w:name w:val="附件"/>
    <w:basedOn w:val="1"/>
    <w:qFormat/>
    <w:uiPriority w:val="0"/>
    <w:pPr>
      <w:ind w:left="1638" w:hanging="1016"/>
    </w:pPr>
  </w:style>
  <w:style w:type="paragraph" w:customStyle="1" w:styleId="16">
    <w:name w:val="秘密紧急"/>
    <w:basedOn w:val="1"/>
    <w:qFormat/>
    <w:uiPriority w:val="0"/>
    <w:pPr>
      <w:jc w:val="right"/>
    </w:pPr>
    <w:rPr>
      <w:rFonts w:ascii="黑体" w:eastAsia="黑体"/>
    </w:rPr>
  </w:style>
  <w:style w:type="paragraph" w:customStyle="1" w:styleId="17">
    <w:name w:val="抄 送"/>
    <w:basedOn w:val="14"/>
    <w:qFormat/>
    <w:uiPriority w:val="0"/>
    <w:pPr>
      <w:ind w:left="0" w:firstLine="0"/>
    </w:pPr>
    <w:rPr>
      <w:rFonts w:eastAsia="仿宋_GB2312"/>
    </w:rPr>
  </w:style>
  <w:style w:type="character" w:customStyle="1" w:styleId="18">
    <w:name w:val="批注框文本 字符"/>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2269;&#26631;&#20844;&#25991;&#26684;&#24335;&#27169;&#26495;\A1%20&#20844;&#25991;_&#26222;&#36890;.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A1 公文_普通.dot</Template>
  <Company>盐田区政府</Company>
  <Pages>20</Pages>
  <Words>10574</Words>
  <Characters>11131</Characters>
  <Lines>79</Lines>
  <Paragraphs>22</Paragraphs>
  <TotalTime>8</TotalTime>
  <ScaleCrop>false</ScaleCrop>
  <LinksUpToDate>false</LinksUpToDate>
  <CharactersWithSpaces>11143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2022-09-27T08:56:00Z</dcterms:created>
  <dc:creator>lzc</dc:creator>
  <cp:lastModifiedBy>用户</cp:lastModifiedBy>
  <cp:lastPrinted>2020-01-15T03:42:00Z</cp:lastPrinted>
  <dcterms:modified xsi:type="dcterms:W3CDTF">2023-09-20T08:26:48Z</dcterms:modified>
  <dc:title>深盐教</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8C9269847D1C4EA5AC0ACFC8841BC47F_13</vt:lpwstr>
  </property>
</Properties>
</file>