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bookmarkStart w:id="0" w:name="_GoBack"/>
      <w:bookmarkEnd w:id="0"/>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lang w:eastAsia="zh-CN"/>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rPr>
        <w:t>《盐田区构建现代产业体系促进经济高质量发展扶持办法（2023年修订）（征求意见稿）》征求公众意见采纳情况</w:t>
      </w:r>
      <w:r>
        <w:rPr>
          <w:rFonts w:hint="eastAsia" w:ascii="方正小标宋简体" w:hAnsi="方正小标宋简体" w:eastAsia="方正小标宋简体" w:cs="方正小标宋简体"/>
          <w:sz w:val="44"/>
          <w:szCs w:val="44"/>
          <w:lang w:eastAsia="zh-CN"/>
        </w:rPr>
        <w:t>表</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方正小标宋简体" w:hAnsi="方正小标宋简体" w:eastAsia="方正小标宋简体" w:cs="方正小标宋简体"/>
          <w:sz w:val="44"/>
          <w:szCs w:val="44"/>
          <w:lang w:eastAsia="zh-CN"/>
        </w:rPr>
      </w:pPr>
    </w:p>
    <w:tbl>
      <w:tblPr>
        <w:tblStyle w:val="5"/>
        <w:tblW w:w="128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2"/>
        <w:gridCol w:w="3078"/>
        <w:gridCol w:w="4987"/>
        <w:gridCol w:w="3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1452" w:type="dxa"/>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联系人</w:t>
            </w:r>
          </w:p>
        </w:tc>
        <w:tc>
          <w:tcPr>
            <w:tcW w:w="3078" w:type="dxa"/>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反馈方式</w:t>
            </w:r>
          </w:p>
        </w:tc>
        <w:tc>
          <w:tcPr>
            <w:tcW w:w="4987" w:type="dxa"/>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具体意见</w:t>
            </w:r>
          </w:p>
        </w:tc>
        <w:tc>
          <w:tcPr>
            <w:tcW w:w="3304" w:type="dxa"/>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采纳情况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3" w:hRule="atLeast"/>
        </w:trPr>
        <w:tc>
          <w:tcPr>
            <w:tcW w:w="1452" w:type="dxa"/>
            <w:vMerge w:val="restart"/>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r>
              <w:rPr>
                <w:rFonts w:hint="eastAsia" w:ascii="仿宋_GB2312" w:hAnsi="仿宋_GB2312" w:eastAsia="仿宋_GB2312" w:cs="仿宋_GB2312"/>
                <w:sz w:val="24"/>
                <w:szCs w:val="24"/>
                <w:vertAlign w:val="baseline"/>
                <w:lang w:eastAsia="zh-CN"/>
              </w:rPr>
              <w:t>陈先生</w:t>
            </w:r>
          </w:p>
        </w:tc>
        <w:tc>
          <w:tcPr>
            <w:tcW w:w="3078" w:type="dxa"/>
            <w:vMerge w:val="restart"/>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电话反馈</w:t>
            </w:r>
          </w:p>
        </w:tc>
        <w:tc>
          <w:tcPr>
            <w:tcW w:w="4987" w:type="dxa"/>
            <w:vAlign w:val="center"/>
          </w:tcPr>
          <w:p>
            <w:pPr>
              <w:pStyle w:val="3"/>
              <w:keepNext w:val="0"/>
              <w:keepLines w:val="0"/>
              <w:widowControl/>
              <w:suppressLineNumbers w:val="0"/>
              <w:spacing w:before="0" w:beforeAutospacing="0" w:after="0" w:afterAutospacing="0"/>
              <w:ind w:right="0"/>
              <w:jc w:val="left"/>
              <w:rPr>
                <w:rFonts w:hint="eastAsia" w:ascii="仿宋_GB2312" w:hAnsi="仿宋_GB2312" w:eastAsia="仿宋_GB2312" w:cs="仿宋_GB2312"/>
                <w:sz w:val="24"/>
                <w:szCs w:val="24"/>
                <w:vertAlign w:val="baseline"/>
                <w:lang w:val="en" w:eastAsia="zh-CN"/>
              </w:rPr>
            </w:pPr>
            <w:r>
              <w:rPr>
                <w:rFonts w:hint="eastAsia" w:ascii="仿宋_GB2312" w:hAnsi="仿宋_GB2312" w:eastAsia="仿宋_GB2312" w:cs="仿宋_GB2312"/>
                <w:sz w:val="24"/>
                <w:szCs w:val="24"/>
                <w:vertAlign w:val="baseline"/>
                <w:lang w:val="en-US" w:eastAsia="zh-CN"/>
              </w:rPr>
              <w:t>1.建议对第四十一条第二款内容进行修改，即删除“注册地不在盐田区的企业可联合盐田区社会组织或企事业单位进行申请”内容。理由：在实际申请产业资金奖励时，区外旅行社联合区内单位提出申请，将面临奖励资金被区内单位分配，而联合申请资金奖励的区内单位并未实质参与游客组织活动。</w:t>
            </w:r>
          </w:p>
        </w:tc>
        <w:tc>
          <w:tcPr>
            <w:tcW w:w="3304" w:type="dxa"/>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highlight w:val="none"/>
                <w:vertAlign w:val="baseline"/>
                <w:lang w:eastAsia="zh-CN"/>
              </w:rPr>
              <w:t>采纳。建议修改为“不限定于盐田区社会组织和企事业单位”。</w:t>
            </w:r>
            <w:r>
              <w:rPr>
                <w:rFonts w:hint="eastAsia" w:ascii="仿宋_GB2312" w:hAnsi="仿宋_GB2312" w:eastAsia="仿宋_GB2312" w:cs="仿宋_GB2312"/>
                <w:sz w:val="24"/>
                <w:szCs w:val="24"/>
                <w:highlight w:val="none"/>
                <w:vertAlign w:val="baseline"/>
                <w:lang w:val="en-US" w:eastAsia="zh-CN"/>
              </w:rPr>
              <w:t>理由：鼓励区外旅行社组织游客到盐田旅游，带动旅游消费提升。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452"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p>
        </w:tc>
        <w:tc>
          <w:tcPr>
            <w:tcW w:w="3078"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eastAsia="zh-CN"/>
              </w:rPr>
            </w:pPr>
          </w:p>
        </w:tc>
        <w:tc>
          <w:tcPr>
            <w:tcW w:w="4987" w:type="dxa"/>
            <w:vAlign w:val="center"/>
          </w:tcPr>
          <w:p>
            <w:pPr>
              <w:pStyle w:val="3"/>
              <w:keepNext w:val="0"/>
              <w:keepLines w:val="0"/>
              <w:widowControl/>
              <w:suppressLineNumbers w:val="0"/>
              <w:spacing w:before="0" w:beforeAutospacing="0" w:after="0" w:afterAutospacing="0"/>
              <w:ind w:right="0"/>
              <w:jc w:val="left"/>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建议扩大“超净生产研发空间”的资助范围。理由：第四十六条“企业建设超净生产研发空间资助”只限定针对生物医药、医疗器械领域，其他制造领域，如芯片半导体等则无法获得该资助，因此不利于其他制造领域超净生产研发空间的落地和发展。</w:t>
            </w:r>
          </w:p>
        </w:tc>
        <w:tc>
          <w:tcPr>
            <w:tcW w:w="3304" w:type="dxa"/>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部分</w:t>
            </w:r>
            <w:r>
              <w:rPr>
                <w:rFonts w:hint="default" w:ascii="仿宋_GB2312" w:hAnsi="仿宋_GB2312" w:eastAsia="仿宋_GB2312" w:cs="仿宋_GB2312"/>
                <w:sz w:val="24"/>
                <w:szCs w:val="24"/>
                <w:vertAlign w:val="baseline"/>
                <w:lang w:val="en-US" w:eastAsia="zh-CN"/>
              </w:rPr>
              <w:t>采纳。该条款为政策第</w:t>
            </w:r>
            <w:r>
              <w:rPr>
                <w:rFonts w:hint="eastAsia" w:ascii="仿宋_GB2312" w:hAnsi="仿宋_GB2312" w:eastAsia="仿宋_GB2312" w:cs="仿宋_GB2312"/>
                <w:sz w:val="24"/>
                <w:szCs w:val="24"/>
                <w:highlight w:val="none"/>
                <w:vertAlign w:val="baseline"/>
                <w:lang w:val="en-US" w:eastAsia="zh-CN"/>
              </w:rPr>
              <w:t>七</w:t>
            </w:r>
            <w:r>
              <w:rPr>
                <w:rFonts w:hint="default" w:ascii="仿宋_GB2312" w:hAnsi="仿宋_GB2312" w:eastAsia="仿宋_GB2312" w:cs="仿宋_GB2312"/>
                <w:sz w:val="24"/>
                <w:szCs w:val="24"/>
                <w:vertAlign w:val="baseline"/>
                <w:lang w:val="en-US" w:eastAsia="zh-CN"/>
              </w:rPr>
              <w:t>章第四节“支持大健康和高端医疗器械产业发展”专项条款，资助范围为大健康和高端医疗器械产业。</w:t>
            </w:r>
            <w:r>
              <w:rPr>
                <w:rFonts w:hint="eastAsia" w:ascii="仿宋_GB2312" w:hAnsi="仿宋_GB2312" w:eastAsia="仿宋_GB2312" w:cs="仿宋_GB2312"/>
                <w:sz w:val="24"/>
                <w:szCs w:val="24"/>
                <w:vertAlign w:val="baseline"/>
                <w:lang w:val="en-US" w:eastAsia="zh-CN"/>
              </w:rPr>
              <w:t>后续，将研究支持芯片、半导体等制造领域研发、生产空间的奖励政策。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4" w:hRule="atLeast"/>
        </w:trPr>
        <w:tc>
          <w:tcPr>
            <w:tcW w:w="1452" w:type="dxa"/>
            <w:vMerge w:val="restart"/>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蔡先生</w:t>
            </w:r>
          </w:p>
        </w:tc>
        <w:tc>
          <w:tcPr>
            <w:tcW w:w="3078" w:type="dxa"/>
            <w:vMerge w:val="restart"/>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电话反馈</w:t>
            </w:r>
          </w:p>
        </w:tc>
        <w:tc>
          <w:tcPr>
            <w:tcW w:w="4987" w:type="dxa"/>
            <w:vAlign w:val="center"/>
          </w:tcPr>
          <w:p>
            <w:pPr>
              <w:pStyle w:val="3"/>
              <w:keepNext w:val="0"/>
              <w:keepLines w:val="0"/>
              <w:widowControl/>
              <w:suppressLineNumbers w:val="0"/>
              <w:spacing w:before="0" w:beforeAutospacing="0" w:after="0" w:afterAutospacing="0"/>
              <w:ind w:right="0"/>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建议对第二章第五条内容进行修改。理由：应考虑对接受多轮投资且总额超过二千万元的企业给予奖励，同时应考虑是否取消“企业获得本条扶持的，不再重复享受本章其他落户奖励”的限制，鼓励潜力型创业企业发展为总部企业，以争取本章第三条总部企业奖励。</w:t>
            </w:r>
          </w:p>
        </w:tc>
        <w:tc>
          <w:tcPr>
            <w:tcW w:w="3304" w:type="dxa"/>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部分采纳。第五条潜力型创业企业落户奖励条件变更为“未享受过本条相关奖励的潜力型创业企业获得投资机构单轮二千万元以上投资的且实际经营地在盐田区的企业，经认定后按照机构投资额的百分之二，给予企业一次性最高三百万元的奖励，分两年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2" w:hRule="atLeast"/>
        </w:trPr>
        <w:tc>
          <w:tcPr>
            <w:tcW w:w="1452"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p>
        </w:tc>
        <w:tc>
          <w:tcPr>
            <w:tcW w:w="3078"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p>
        </w:tc>
        <w:tc>
          <w:tcPr>
            <w:tcW w:w="4987" w:type="dxa"/>
            <w:vAlign w:val="center"/>
          </w:tcPr>
          <w:p>
            <w:pPr>
              <w:pStyle w:val="3"/>
              <w:keepNext w:val="0"/>
              <w:keepLines w:val="0"/>
              <w:widowControl/>
              <w:suppressLineNumbers w:val="0"/>
              <w:spacing w:before="0" w:beforeAutospacing="0" w:after="0" w:afterAutospacing="0"/>
              <w:ind w:right="0"/>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建议对第六章第二十一条内容进行修改，具体由“鼓励盐田区内项目申报市级以上节能低碳类示范创建项目和扶持资金”修改为“鼓励盐田区内项目申报市级以上节能低碳类示范创建项目和扶持资金，盐田区给予配套奖励和扶持”。</w:t>
            </w:r>
          </w:p>
        </w:tc>
        <w:tc>
          <w:tcPr>
            <w:tcW w:w="3304" w:type="dxa"/>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部分采纳。同意根据建议修改为“鼓励盐田区内项目申报市级以上节能低碳类示范创建项目和扶持资金，盐田区给予奖励和配套扶持”。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4" w:hRule="atLeast"/>
        </w:trPr>
        <w:tc>
          <w:tcPr>
            <w:tcW w:w="1452" w:type="dxa"/>
            <w:vMerge w:val="restart"/>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伍女士</w:t>
            </w:r>
          </w:p>
        </w:tc>
        <w:tc>
          <w:tcPr>
            <w:tcW w:w="3078" w:type="dxa"/>
            <w:vMerge w:val="restart"/>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邮件反馈</w:t>
            </w:r>
          </w:p>
        </w:tc>
        <w:tc>
          <w:tcPr>
            <w:tcW w:w="4987" w:type="dxa"/>
            <w:vAlign w:val="center"/>
          </w:tcPr>
          <w:p>
            <w:pPr>
              <w:pStyle w:val="3"/>
              <w:keepNext w:val="0"/>
              <w:keepLines w:val="0"/>
              <w:widowControl/>
              <w:suppressLineNumbers w:val="0"/>
              <w:spacing w:before="0" w:beforeAutospacing="0" w:after="0" w:afterAutospacing="0"/>
              <w:ind w:right="0"/>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1.基于总部经济建设在深圳的起点早、力度大、效果佳，目前各区总部企业数量均呈现逐年较快增长的状况，各区政府的扶持力度也随着市场与企业的实际情况不断优化。对于新认定的区级总部企业，各区的一次性认定扶持力度如下：福田区500万，宝安区300万，南山区200万，大鹏新区100万，光明区100-1000万不等；建议盐田区作为总部经济发展的先行区之一，同步调整设置总部企业认定相关奖励政策。</w:t>
            </w:r>
          </w:p>
        </w:tc>
        <w:tc>
          <w:tcPr>
            <w:tcW w:w="3304" w:type="dxa"/>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部分采纳。后续将充分研究，参考各区扶持力度，结合我区财政情况，调整认定扶持力度。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1452"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p>
        </w:tc>
        <w:tc>
          <w:tcPr>
            <w:tcW w:w="3078"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p>
        </w:tc>
        <w:tc>
          <w:tcPr>
            <w:tcW w:w="4987" w:type="dxa"/>
            <w:vAlign w:val="center"/>
          </w:tcPr>
          <w:p>
            <w:pPr>
              <w:pStyle w:val="3"/>
              <w:keepNext w:val="0"/>
              <w:keepLines w:val="0"/>
              <w:widowControl/>
              <w:suppressLineNumbers w:val="0"/>
              <w:spacing w:before="0" w:beforeAutospacing="0" w:after="0" w:afterAutospacing="0"/>
              <w:ind w:right="0"/>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2.对于征集稿中原定对“专精特新”的补贴方式，由于深圳市当前实际仅对省级/国家级专精特新进行补贴，对市级专精特新暂无补贴额度，因此当企业获评的专精特新企业为深圳市级别时，区内暂无法实现“按市级资助的50%补贴”的做法。对于此项扶持，其他区也存在一定的补贴措施考量：罗湖区25万，南山区20万。由于专精特新无论体量级别大小，在区级科技发展中不可或缺的创新力量，因此建议盐田区同步给予市级专精特新企业一定的补贴措施。具体修改建议为：第十二条 专精特新发展资助。对2021年起获得如下深圳市级项目资助的企业或单位：工业设计项目、工业强基项目、工业互联网项目、企业技术中心项目、工程技术研究中心项目、工程研究中心项目、制造业创新中心项目、“三首”工程项目、专精特新评定（省级/国家级）、“单项冠军”称号、时尚产业关键技术与核心零部件攻关项目、时尚产业竞争力提升应用创新项目等，按所获深圳市级资助的百分之五十给予资助；对首次获市级专精特新的企业，给予20万元一次性奖励资助。对同一企业或单位每年资助不超过五百万元。市级主管部门对项目有验收要求的，在项目通过验收后予以资助。同一项目不与第十三条同时享受。</w:t>
            </w:r>
          </w:p>
        </w:tc>
        <w:tc>
          <w:tcPr>
            <w:tcW w:w="3304" w:type="dxa"/>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部分采纳。深圳市作为计划单列市，深圳市评定的市级专精特新企业等同于省级专精特新企业。政策修订时，将研究市级专精特新企业予以奖励的具体内容和力度。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4" w:hRule="atLeast"/>
        </w:trPr>
        <w:tc>
          <w:tcPr>
            <w:tcW w:w="1452"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p>
        </w:tc>
        <w:tc>
          <w:tcPr>
            <w:tcW w:w="3078" w:type="dxa"/>
            <w:vMerge w:val="continue"/>
            <w:vAlign w:val="center"/>
          </w:tcPr>
          <w:p>
            <w:pPr>
              <w:pStyle w:val="3"/>
              <w:keepNext w:val="0"/>
              <w:keepLines w:val="0"/>
              <w:widowControl/>
              <w:suppressLineNumbers w:val="0"/>
              <w:spacing w:before="0" w:beforeAutospacing="0" w:after="0" w:afterAutospacing="0"/>
              <w:ind w:right="0"/>
              <w:jc w:val="center"/>
              <w:rPr>
                <w:rFonts w:hint="eastAsia" w:ascii="仿宋_GB2312" w:hAnsi="仿宋_GB2312" w:eastAsia="仿宋_GB2312" w:cs="仿宋_GB2312"/>
                <w:sz w:val="24"/>
                <w:szCs w:val="24"/>
                <w:vertAlign w:val="baseline"/>
                <w:lang w:val="en-US" w:eastAsia="zh-CN"/>
              </w:rPr>
            </w:pPr>
          </w:p>
        </w:tc>
        <w:tc>
          <w:tcPr>
            <w:tcW w:w="4987" w:type="dxa"/>
            <w:vAlign w:val="center"/>
          </w:tcPr>
          <w:p>
            <w:pPr>
              <w:pStyle w:val="3"/>
              <w:keepNext w:val="0"/>
              <w:keepLines w:val="0"/>
              <w:widowControl/>
              <w:suppressLineNumbers w:val="0"/>
              <w:spacing w:before="0" w:beforeAutospacing="0" w:after="0" w:afterAutospacing="0"/>
              <w:ind w:right="0"/>
              <w:jc w:val="left"/>
              <w:rPr>
                <w:rFonts w:hint="default" w:ascii="仿宋_GB2312" w:hAnsi="仿宋_GB2312" w:eastAsia="仿宋_GB2312" w:cs="仿宋_GB2312"/>
                <w:sz w:val="24"/>
                <w:szCs w:val="24"/>
                <w:vertAlign w:val="baseline"/>
                <w:lang w:val="en-US" w:eastAsia="zh-CN"/>
              </w:rPr>
            </w:pPr>
            <w:r>
              <w:rPr>
                <w:rFonts w:hint="eastAsia" w:ascii="仿宋_GB2312" w:hAnsi="仿宋_GB2312" w:eastAsia="仿宋_GB2312" w:cs="仿宋_GB2312"/>
                <w:sz w:val="24"/>
                <w:szCs w:val="24"/>
                <w:vertAlign w:val="baseline"/>
                <w:lang w:val="en-US" w:eastAsia="zh-CN"/>
              </w:rPr>
              <w:t>3.批发零售业作为盐田区商贸企业中占比较大的行业，企业经营营收增长一直是获政府扶持的一大部分，建议保留往年文件中对批发零售业关于此条的资助政策。</w:t>
            </w:r>
          </w:p>
        </w:tc>
        <w:tc>
          <w:tcPr>
            <w:tcW w:w="3304" w:type="dxa"/>
            <w:vAlign w:val="center"/>
          </w:tcPr>
          <w:p>
            <w:pPr>
              <w:pStyle w:val="3"/>
              <w:keepNext w:val="0"/>
              <w:keepLines w:val="0"/>
              <w:widowControl/>
              <w:suppressLineNumbers w:val="0"/>
              <w:spacing w:before="0" w:beforeAutospacing="0" w:after="0" w:afterAutospacing="0"/>
              <w:ind w:right="0"/>
              <w:jc w:val="center"/>
              <w:rPr>
                <w:rFonts w:hint="default" w:ascii="仿宋_GB2312" w:hAnsi="仿宋_GB2312" w:eastAsia="仿宋_GB2312" w:cs="仿宋_GB2312"/>
                <w:sz w:val="24"/>
                <w:szCs w:val="24"/>
                <w:vertAlign w:val="baseline"/>
                <w:lang w:val="en-US" w:eastAsia="zh-CN"/>
              </w:rPr>
            </w:pPr>
            <w:r>
              <w:rPr>
                <w:rFonts w:hint="default" w:ascii="仿宋_GB2312" w:hAnsi="仿宋_GB2312" w:eastAsia="仿宋_GB2312" w:cs="仿宋_GB2312"/>
                <w:sz w:val="24"/>
                <w:szCs w:val="24"/>
                <w:vertAlign w:val="baseline"/>
                <w:lang w:val="en-US" w:eastAsia="zh-CN"/>
              </w:rPr>
              <w:t>未采纳，《盐田区2023年迎新春促消费稳增长支持措施》中有批发零售业的企业经营增长奖励，同时拟出台的第二至四季度稳增长扶持政策也有相关奖励。</w:t>
            </w:r>
          </w:p>
        </w:tc>
      </w:tr>
    </w:tbl>
    <w:p/>
    <w:sectPr>
      <w:pgSz w:w="16838" w:h="11906" w:orient="landscape"/>
      <w:pgMar w:top="1587" w:right="2098" w:bottom="1474" w:left="198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4"/>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RmYWUwZDc5NGQyMzI1MmYxOThkZGJkYzZiZThmYWQifQ=="/>
  </w:docVars>
  <w:rsids>
    <w:rsidRoot w:val="4A1947CF"/>
    <w:rsid w:val="0224362A"/>
    <w:rsid w:val="04C425F6"/>
    <w:rsid w:val="08AA23CF"/>
    <w:rsid w:val="09D26061"/>
    <w:rsid w:val="0C052176"/>
    <w:rsid w:val="0F7560C5"/>
    <w:rsid w:val="0F855CBD"/>
    <w:rsid w:val="118F4601"/>
    <w:rsid w:val="135427C6"/>
    <w:rsid w:val="137A4031"/>
    <w:rsid w:val="160475A2"/>
    <w:rsid w:val="19324427"/>
    <w:rsid w:val="1B5C39DD"/>
    <w:rsid w:val="1BB47680"/>
    <w:rsid w:val="1C7F3E11"/>
    <w:rsid w:val="1CD777BF"/>
    <w:rsid w:val="21E169EA"/>
    <w:rsid w:val="22842735"/>
    <w:rsid w:val="26323CB8"/>
    <w:rsid w:val="2738003B"/>
    <w:rsid w:val="284303FE"/>
    <w:rsid w:val="2A162C68"/>
    <w:rsid w:val="2FC61D9B"/>
    <w:rsid w:val="300D4E4E"/>
    <w:rsid w:val="352B52D7"/>
    <w:rsid w:val="372A73A8"/>
    <w:rsid w:val="37C37AE8"/>
    <w:rsid w:val="37E71C5D"/>
    <w:rsid w:val="3B132EBB"/>
    <w:rsid w:val="47CF53B3"/>
    <w:rsid w:val="47FD3CCE"/>
    <w:rsid w:val="49997A26"/>
    <w:rsid w:val="4A1947CF"/>
    <w:rsid w:val="4A9B4458"/>
    <w:rsid w:val="4AEC002A"/>
    <w:rsid w:val="4DFD696C"/>
    <w:rsid w:val="5340606B"/>
    <w:rsid w:val="585676B6"/>
    <w:rsid w:val="5A776550"/>
    <w:rsid w:val="5AFB5ABF"/>
    <w:rsid w:val="5EF9A00F"/>
    <w:rsid w:val="6532453E"/>
    <w:rsid w:val="66522FDF"/>
    <w:rsid w:val="67AB7CE7"/>
    <w:rsid w:val="680E1188"/>
    <w:rsid w:val="6FD64C81"/>
    <w:rsid w:val="6FEB586E"/>
    <w:rsid w:val="701A2631"/>
    <w:rsid w:val="719C5A56"/>
    <w:rsid w:val="79AA3465"/>
    <w:rsid w:val="7A7FB97E"/>
    <w:rsid w:val="7ABF6D39"/>
    <w:rsid w:val="7B1837A2"/>
    <w:rsid w:val="7F935935"/>
    <w:rsid w:val="7FBB17A5"/>
    <w:rsid w:val="7FEA2E21"/>
    <w:rsid w:val="B9D750E5"/>
    <w:rsid w:val="D6EBF906"/>
    <w:rsid w:val="DFFB29E8"/>
    <w:rsid w:val="EBAEC6D0"/>
    <w:rsid w:val="F5BE8745"/>
    <w:rsid w:val="F6BF26E2"/>
    <w:rsid w:val="FB7F8956"/>
    <w:rsid w:val="FEB79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hAnsi="仿宋_GB2312" w:cs="仿宋_GB2312"/>
      <w:lang w:val="zh-CN" w:bidi="zh-CN"/>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2058</Words>
  <Characters>2097</Characters>
  <Lines>0</Lines>
  <Paragraphs>0</Paragraphs>
  <TotalTime>1</TotalTime>
  <ScaleCrop>false</ScaleCrop>
  <LinksUpToDate>false</LinksUpToDate>
  <CharactersWithSpaces>2098</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2018-07-12T15:11:00Z</dcterms:created>
  <dc:creator>d</dc:creator>
  <cp:lastModifiedBy>yt</cp:lastModifiedBy>
  <dcterms:modified xsi:type="dcterms:W3CDTF">2023-06-29T09:02:24Z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BF212644E3224D08BF56BFD5B894E4C8_13</vt:lpwstr>
  </property>
</Properties>
</file>