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</w:rPr>
        <w:t>2020年盐田区政府信息公开工作年度报告</w:t>
      </w:r>
    </w:p>
    <w:p>
      <w:pPr>
        <w:widowControl/>
        <w:shd w:val="clear" w:color="auto" w:fill="FFFFFF"/>
        <w:spacing w:line="600" w:lineRule="exact"/>
        <w:ind w:firstLine="560" w:firstLineChars="200"/>
        <w:rPr>
          <w:rFonts w:ascii="宋体" w:hAnsi="宋体" w:eastAsia="宋体" w:cs="宋体"/>
          <w:color w:val="333333"/>
          <w:kern w:val="0"/>
          <w:sz w:val="28"/>
          <w:szCs w:val="28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根据《中华人民共和国政府信息公开条例（国务院第711号令）》（以下简称《条例》）,现公布深圳市盐田区人民政府2020年政府信息公开工作年度报告。本报告由总体情况、主动公开政府信息情况、收到和处理政府信息公开申请情况、政府信息公开行政复议和行政诉讼情况、存在的主要问题及改进情况、其他需要报告的事项等六部分组成，起止时间为2020年1月1日至12月31日。本报告电子版可在“盐田政府在线”(www.yantian.gov.cn）网站下载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一、总体情况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黑体" w:eastAsia="仿宋_GB2312"/>
          <w:color w:val="000000" w:themeColor="text1"/>
          <w:sz w:val="32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2020年，深圳市盐田区政府认真贯彻《中华人民共和国政府信息公开条例》和国家、省、市有关政府信息公开工作的要求，继续健全公开机制、规范公开流程、畅通公开渠道，推进行政权力运行公开化、规范化，及时、准确、全面公开群众关心、涉及群众利益的政府信息</w:t>
      </w:r>
      <w:r>
        <w:rPr>
          <w:rFonts w:hint="eastAsia" w:ascii="仿宋_GB2312" w:hAnsi="黑体" w:eastAsia="仿宋_GB2312"/>
          <w:color w:val="000000" w:themeColor="text1"/>
          <w:sz w:val="32"/>
          <w:szCs w:val="36"/>
        </w:rPr>
        <w:t>，做好主动服务群众的“第一站”。区主要领导带头推进政务公开工作，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全年主动公开政府信息20464条，处理政府信息公开申请35宗。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黑体" w:eastAsia="仿宋_GB2312"/>
          <w:color w:val="000000" w:themeColor="text1"/>
          <w:sz w:val="32"/>
          <w:szCs w:val="36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6"/>
        </w:rPr>
        <w:t>（一）加强组织领导，建立健全信息公开机制。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深入落实《条例》，</w:t>
      </w:r>
      <w:r>
        <w:rPr>
          <w:rFonts w:hint="eastAsia" w:ascii="仿宋_GB2312" w:hAnsi="黑体" w:eastAsia="仿宋_GB2312"/>
          <w:color w:val="000000" w:themeColor="text1"/>
          <w:sz w:val="32"/>
          <w:szCs w:val="36"/>
        </w:rPr>
        <w:t>认真编制并及时更新盐田区政府信息公开指南、目录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，编制我区及所辖街道政务公开事项标准目录，已将26个领域及四个街道、中英街管理局的目录挂网公开，全面落实基层政务决策、执行、管理、服务和结果“五公开”。</w:t>
      </w:r>
      <w:r>
        <w:rPr>
          <w:rFonts w:hint="eastAsia" w:ascii="仿宋_GB2312" w:hAnsi="仿宋_GB2312" w:eastAsia="仿宋_GB2312" w:cs="仿宋_GB2312"/>
          <w:sz w:val="32"/>
          <w:szCs w:val="32"/>
        </w:rPr>
        <w:t>针对依申请公开事项增长速度较快、复杂程度增大的现状，根据广东省依申请公开工作有关模板，及时更新制作依申请公开流程图、回复模板等，严格落实依申请公开的程序及文书规范，准确使用依申请公开各项规定，全面提升政府信息公开申请办理工作质量，依法保障公众合理信息需求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主动应对人事变动，及时调整盐田区政务公开领导小组成员，明确</w:t>
      </w:r>
      <w:r>
        <w:rPr>
          <w:rFonts w:hint="eastAsia" w:ascii="仿宋_GB2312" w:hAnsi="黑体" w:eastAsia="仿宋_GB2312"/>
          <w:color w:val="000000" w:themeColor="text1"/>
          <w:sz w:val="32"/>
          <w:szCs w:val="36"/>
        </w:rPr>
        <w:t>区政府办公室为政务公开的主管部门，负责组织协调、指导推进、监督检查本区的政务公开工作，进一步抓实抓细政务公开绩效考核评估，切实提升部门做好政务公开工作的积极性、主动性。2020年度制定政务公报6期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6"/>
        </w:rPr>
        <w:t>（二）加强主动公开，推进信息公开全面覆盖。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坚持把主动公开作为推进政务公开工作的主要方式，不断扩大公开范围，细化公开内容，推进决策、执行、管理、服务、结果“五公开”。</w:t>
      </w: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一是着力推进重点领域信息公开。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公开区政府及部门预决算信息、财政专项信息等资金信息。公开住房保障、房屋征收、政府采购、工程建设项目招投标等公共资源配置信息。公开重大建设项目计划、重大建设项目实施进展、投资额、招标投标信息等重大建设项目批准和实施信息。公开就业创业、生产安全、扶贫工作、环境保护等社会公益事业建设领域信息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sz w:val="32"/>
        </w:rPr>
        <w:pict>
          <v:shape id="_x0000_s2051" o:spid="_x0000_s2051" o:spt="202" type="#_x0000_t202" style="position:absolute;left:0pt;margin-left:0.45pt;margin-top:3.95pt;height:189.5pt;width:409.65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4787265" cy="1144270"/>
                        <wp:effectExtent l="19050" t="0" r="0" b="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3980" cy="114610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r>
                    <w:drawing>
                      <wp:inline distT="0" distB="0" distL="0" distR="0">
                        <wp:extent cx="4787265" cy="962660"/>
                        <wp:effectExtent l="19050" t="0" r="0" b="0"/>
                        <wp:docPr id="7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" name="图片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84946" cy="9625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二是有序推进行政执法网上监督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。优化行政许可、行政处罚“双公示”工作，不断强化“双随机一公开”监管模式；对接广东省行政执法信息公示平台，公开事前、事中、事后执法全过程。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sz w:val="32"/>
        </w:rPr>
        <w:pict>
          <v:shape id="_x0000_s2052" o:spid="_x0000_s2052" o:spt="202" type="#_x0000_t202" style="position:absolute;left:0pt;margin-left:21.45pt;margin-top:6.75pt;height:335.25pt;width:391.6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4761865" cy="2390775"/>
                        <wp:effectExtent l="19050" t="0" r="1" b="0"/>
                        <wp:docPr id="12" name="图片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图片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2721" cy="239590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drawing>
                      <wp:inline distT="0" distB="0" distL="0" distR="0">
                        <wp:extent cx="4695825" cy="1476375"/>
                        <wp:effectExtent l="19050" t="0" r="0" b="0"/>
                        <wp:docPr id="9" name="图片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图片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97360" cy="14768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三是切实加强政策文件解读力度。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政策解读力度，严格执行“三同时”制度，充分发挥盐田政府在线“第一平台”作用，区委、区政府主要领导带头解读政策，区政府办公室不断拓展动画、在线访谈、图文等社会公众喜闻乐见的解读形式，增强传播力影响力，确保政策用得上、用得好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扩大公众参与，网上公开征求政府重大决策项目、规范性文件、民生实事等相关意见；加强网上信访、区长信箱等群众各类咨询、投诉建议的积极回应。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sz w:val="32"/>
        </w:rPr>
        <w:pict>
          <v:shape id="_x0000_s2053" o:spid="_x0000_s2053" o:spt="202" type="#_x0000_t202" style="position:absolute;left:0pt;margin-left:3pt;margin-top:4.5pt;height:456.45pt;width:408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4729480" cy="1657350"/>
                        <wp:effectExtent l="19050" t="0" r="0" b="0"/>
                        <wp:docPr id="18" name="图片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图片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50356" cy="16644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r>
                    <w:drawing>
                      <wp:inline distT="0" distB="0" distL="0" distR="0">
                        <wp:extent cx="4860290" cy="1562100"/>
                        <wp:effectExtent l="19050" t="0" r="0" b="0"/>
                        <wp:docPr id="19" name="图片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图片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72231" cy="15658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r>
                    <w:drawing>
                      <wp:inline distT="0" distB="0" distL="0" distR="0">
                        <wp:extent cx="4852035" cy="2219325"/>
                        <wp:effectExtent l="19050" t="0" r="5311" b="0"/>
                        <wp:docPr id="28" name="图片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图片 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64433" cy="22248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四是积极回应人大代表、政协委员意见。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完成市人大代表建议7件、市政协提案办理对外公开3件，办理答复率和代表满意度均为100%。各单位完成区人大建议91件、区政协提案140件，并对外公开2020年盐田区建议提案办理的总体情况。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sz w:val="32"/>
        </w:rPr>
        <w:pict>
          <v:shape id="_x0000_s2054" o:spid="_x0000_s2054" o:spt="202" type="#_x0000_t202" style="position:absolute;left:0pt;margin-left:2.1pt;margin-top:5.15pt;height:103.75pt;width:406.2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4966970" cy="1142365"/>
                        <wp:effectExtent l="19050" t="0" r="5080" b="0"/>
                        <wp:docPr id="34" name="图片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图片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66970" cy="11427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五是努力做好政府信息数据解读。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在政府门户网站上建立“数据发布”专栏，对我区综合经济、人口、地区生产中总值、社会消费品零售总额、工业生产、财政支出、政府采购、固定资产统计等指标以图表形式展现。图解2020年全区经济形势分析，并对外公开其数据解读。</w:t>
      </w:r>
    </w:p>
    <w:p>
      <w:pPr>
        <w:widowControl/>
        <w:shd w:val="clear" w:color="auto" w:fill="FFFFFF"/>
        <w:ind w:firstLine="627" w:firstLineChars="196"/>
        <w:rPr>
          <w:rFonts w:ascii="楷体_GB2312" w:hAnsi="微软雅黑" w:eastAsia="楷体_GB2312" w:cs="Helvetica"/>
          <w:color w:val="FF0000"/>
          <w:sz w:val="32"/>
          <w:szCs w:val="32"/>
        </w:rPr>
      </w:pPr>
      <w:r>
        <w:rPr>
          <w:rFonts w:ascii="楷体_GB2312" w:hAnsi="微软雅黑" w:eastAsia="楷体_GB2312" w:cs="Helvetica"/>
          <w:color w:val="FF0000"/>
          <w:sz w:val="32"/>
          <w:szCs w:val="32"/>
        </w:rPr>
        <w:drawing>
          <wp:inline distT="0" distB="0" distL="0" distR="0">
            <wp:extent cx="4972050" cy="3343275"/>
            <wp:effectExtent l="1905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334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（三）树立服务理念，做到群众诉求及时回应。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深入研究依申请公开工作面临的形势与问题，开展深入调研，提升部门办理群众申请工作的重视程度。制定《盐田区政府信息申请公开暂行办法》，制作依申请公开流程图、回复模板等，严格落实依申请公开的程序及文书规范，提供清晰的政府信息。创新开展依申请公开电话回访工作，根据群众申请政府信息的用途，最大限度地提供咨询服务，提升群众满意度，有效减少重复申请、复议、诉讼等案例，打造有温度的群众诉求回应平台。</w:t>
      </w: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sz w:val="32"/>
        </w:rPr>
        <w:pict>
          <v:shape id="_x0000_s2055" o:spid="_x0000_s2055" o:spt="202" type="#_x0000_t202" style="position:absolute;left:0pt;margin-left:6.5pt;margin-top:15.35pt;height:359.95pt;width:410.6pt;z-index:251663360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ind w:firstLine="210" w:firstLineChars="100"/>
                  </w:pPr>
                  <w:r>
                    <w:drawing>
                      <wp:inline distT="0" distB="0" distL="114300" distR="114300">
                        <wp:extent cx="5271770" cy="3933190"/>
                        <wp:effectExtent l="0" t="0" r="5080" b="10160"/>
                        <wp:docPr id="6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271770" cy="393319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黑体" w:eastAsia="仿宋_GB2312"/>
          <w:color w:val="000000" w:themeColor="text1"/>
          <w:sz w:val="32"/>
          <w:szCs w:val="36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3" w:firstLineChars="200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color w:val="FF0000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（四）完善平台建设，精准触达用户需求。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不断深化盐田政府在线经典版、角色版双网页，网站经典模式基于政务公开、政务服务、互动交流三大传统版块，再结合走进盐田、热点专题等特色版块展现全貌；角色模式依托大数据核心技术，对网站数据访问情况、访客点击行为等数据进行多维、细粒度、垂直分析，基于分析结果创新式定制居民、企业和游客三类角色人群个性化页面，即人民群众可根据自身角色查看对应的个性化页面，获得有效指引和提示，快速获取所需内容，实现精准推送。疫情防控期间，更紧紧围绕疫情防控和服务企业，积极创新，针对不同人群、企业精准发力、有效发声，推出“战疫情，我们在行动”疫情防控中英文专题、“盐田区应对疫情恵企政策服务”等特色专题栏目，科学助力疫情防控和企业复工复产。2020年，网站浏览量4,891,056同比增长63.8%；访客数量2,297,084，同比增长111.5%；公共搜索收录量为75,500。</w:t>
      </w:r>
    </w:p>
    <w:p>
      <w:pPr>
        <w:widowControl/>
        <w:shd w:val="clear" w:color="auto" w:fill="FFFFFF"/>
        <w:spacing w:line="600" w:lineRule="exact"/>
        <w:rPr>
          <w:rFonts w:ascii="楷体_GB2312" w:hAnsi="微软雅黑" w:eastAsia="楷体_GB2312" w:cs="Helvetica"/>
          <w:b/>
          <w:color w:val="000000" w:themeColor="text1"/>
          <w:sz w:val="32"/>
          <w:szCs w:val="32"/>
        </w:rPr>
      </w:pPr>
      <w:r>
        <w:rPr>
          <w:sz w:val="32"/>
        </w:rPr>
        <w:pict>
          <v:shape id="_x0000_s2056" o:spid="_x0000_s2056" o:spt="202" type="#_x0000_t202" style="position:absolute;left:0pt;margin-left:2.1pt;margin-top:24.65pt;height:231.85pt;width:423.6pt;z-index:25166438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5133975" cy="2714625"/>
                        <wp:effectExtent l="19050" t="0" r="9525" b="0"/>
                        <wp:docPr id="2" name="图片 2" descr="C:\Users\YT\AppData\Local\Temp\1612508301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2" descr="C:\Users\YT\AppData\Local\Temp\1612508301(1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67766" cy="27324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楷体_GB2312" w:hAnsi="微软雅黑" w:eastAsia="楷体_GB2312" w:cs="Helvetica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after="280"/>
        <w:rPr>
          <w:rFonts w:ascii="楷体_GB2312" w:hAnsi="楷体_GB2312" w:eastAsia="楷体_GB2312" w:cs="楷体_GB2312"/>
          <w:color w:val="0000FF"/>
          <w:sz w:val="32"/>
          <w:szCs w:val="32"/>
        </w:rPr>
      </w:pPr>
    </w:p>
    <w:p>
      <w:pPr>
        <w:widowControl/>
        <w:shd w:val="clear" w:color="auto" w:fill="FFFFFF"/>
        <w:spacing w:after="280"/>
        <w:ind w:firstLine="480"/>
        <w:rPr>
          <w:rFonts w:ascii="宋体" w:hAnsi="宋体" w:eastAsia="宋体" w:cs="宋体"/>
          <w:b/>
          <w:bCs/>
          <w:color w:val="333333"/>
          <w:kern w:val="0"/>
          <w:sz w:val="28"/>
          <w:szCs w:val="28"/>
        </w:rPr>
      </w:pPr>
    </w:p>
    <w:p>
      <w:pPr>
        <w:widowControl/>
        <w:shd w:val="clear" w:color="auto" w:fill="FFFFFF"/>
        <w:spacing w:after="280"/>
        <w:rPr>
          <w:rFonts w:ascii="宋体" w:hAnsi="宋体" w:eastAsia="宋体" w:cs="宋体"/>
          <w:b/>
          <w:bCs/>
          <w:color w:val="333333"/>
          <w:kern w:val="0"/>
          <w:sz w:val="28"/>
          <w:szCs w:val="28"/>
        </w:rPr>
      </w:pPr>
    </w:p>
    <w:p>
      <w:pPr>
        <w:widowControl/>
        <w:shd w:val="clear" w:color="auto" w:fill="FFFFFF"/>
        <w:spacing w:after="280"/>
        <w:ind w:firstLine="480"/>
        <w:rPr>
          <w:rFonts w:ascii="宋体" w:hAnsi="宋体" w:eastAsia="宋体" w:cs="宋体"/>
          <w:b/>
          <w:bCs/>
          <w:color w:val="333333"/>
          <w:kern w:val="0"/>
          <w:sz w:val="28"/>
          <w:szCs w:val="28"/>
        </w:rPr>
      </w:pPr>
      <w:r>
        <w:rPr>
          <w:rFonts w:ascii="宋体" w:hAnsi="宋体" w:cs="宋体"/>
          <w:b/>
          <w:color w:val="000000"/>
          <w:kern w:val="0"/>
          <w:sz w:val="22"/>
        </w:rPr>
        <w:drawing>
          <wp:inline distT="0" distB="0" distL="0" distR="0">
            <wp:extent cx="5071745" cy="7957185"/>
            <wp:effectExtent l="19050" t="0" r="0" b="0"/>
            <wp:docPr id="1" name="图片 1" descr="C:\Users\YT\AppData\Local\Temp\1612508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YT\AppData\Local\Temp\1612508155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8730" cy="796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6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512（+284）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280（-57）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1432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2090（+658）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13（-17）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12（+1）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295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39582.407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</w:rPr>
              <w:t>万元</w:t>
            </w:r>
          </w:p>
        </w:tc>
      </w:tr>
    </w:tbl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759"/>
        <w:gridCol w:w="2268"/>
        <w:gridCol w:w="726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42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364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64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pStyle w:val="5"/>
        <w:spacing w:before="0" w:beforeAutospacing="0" w:after="0" w:afterAutospacing="0" w:line="600" w:lineRule="exact"/>
        <w:ind w:firstLine="640" w:firstLineChars="200"/>
        <w:rPr>
          <w:rFonts w:ascii="仿宋_GB2312" w:hAnsi="黑体" w:eastAsia="仿宋_GB2312" w:cstheme="minorBidi"/>
          <w:color w:val="000000" w:themeColor="text1"/>
          <w:kern w:val="2"/>
          <w:sz w:val="32"/>
          <w:szCs w:val="36"/>
        </w:rPr>
      </w:pPr>
      <w:r>
        <w:rPr>
          <w:rFonts w:hint="eastAsia" w:ascii="仿宋_GB2312" w:hAnsi="黑体" w:eastAsia="仿宋_GB2312" w:cstheme="minorBidi"/>
          <w:color w:val="000000" w:themeColor="text1"/>
          <w:kern w:val="2"/>
          <w:sz w:val="32"/>
          <w:szCs w:val="36"/>
        </w:rPr>
        <w:t>我区对受理的政府信息公开申请，均向申请人无偿提供电子文档或纸质文档，没有向申请人收取费用。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五、存在的主要问题及改进情况</w:t>
      </w:r>
    </w:p>
    <w:p>
      <w:pPr>
        <w:ind w:firstLine="640"/>
        <w:rPr>
          <w:rFonts w:hint="eastAsia"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2020年，盐田区政府信息公开工作有序推进，取得了新的进步，但仍存在一些不足：</w:t>
      </w:r>
    </w:p>
    <w:p>
      <w:pPr>
        <w:ind w:firstLine="64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一是要素保障不够充足。区级从事政务公开工作的人员人数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缺乏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，兼职人员占绝大多数，业务水平不高、流动性强难以满足工作需要，容易造成工作脱节；资金配套不足，推动工作力度不够。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二是业务培训不够到位。由于疫情影响，较少举办区级系统业务培训，政务公开工作人员法治思维、公开意识不够强，处理依申请公开案件能力有待进一步提升。</w:t>
      </w:r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三是公开载体不够丰富。政务公开主要还是以政府门户网站为主渠道，与时俱进地运用政务新媒体开展宣传做的不够。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2021年盐田区将采取以下措施，积极推进政府信息公开工作：</w:t>
      </w:r>
    </w:p>
    <w:p>
      <w:pPr>
        <w:ind w:firstLine="64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要不断提高保障水平。配齐配强区级有关部门工作人员，确保政务公开工作有专人负责落实；加大资金保障力度，探索通过购买服务等方式，助力政务公开工作规范发展；继续把政务公开、政府网站、政务新媒体纳入绩效考核范围，提升工作实效。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二要不断加强工作培训。学习借鉴先进地区经验，采取视频培训、网络授课等方式，定期开展全区政务公开系统业务培训。积极开展社会评议，及时查找本区政务公开工作中的不足与短板，全面提升政务公开工作水平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　　三要不断拓宽公开渠道。坚持线上与线下相结合，充分发挥政府网站和政务新媒体作用，采取群众喜闻乐见方式，全方位解读政策措施；继续推进基层政务公开标准化规范化建设，利用便民服务中心设立政务公开专区，为群众和企业提供政府信息查询、信息公开申请、办事咨询答复等服务。</w:t>
      </w:r>
      <w:bookmarkStart w:id="0" w:name="_GoBack"/>
      <w:bookmarkEnd w:id="0"/>
    </w:p>
    <w:p>
      <w:pPr>
        <w:widowControl/>
        <w:shd w:val="clear" w:color="auto" w:fill="FFFFFF"/>
        <w:spacing w:line="600" w:lineRule="exact"/>
        <w:ind w:firstLine="640" w:firstLineChars="20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六、其他需要报告的事项</w:t>
      </w:r>
    </w:p>
    <w:p>
      <w:pPr>
        <w:spacing w:line="60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D5971"/>
    <w:rsid w:val="0000776E"/>
    <w:rsid w:val="000242A2"/>
    <w:rsid w:val="00034904"/>
    <w:rsid w:val="00040897"/>
    <w:rsid w:val="0005205E"/>
    <w:rsid w:val="000543DE"/>
    <w:rsid w:val="00066074"/>
    <w:rsid w:val="00083610"/>
    <w:rsid w:val="000A134D"/>
    <w:rsid w:val="000A3778"/>
    <w:rsid w:val="000C4B8B"/>
    <w:rsid w:val="000D47A7"/>
    <w:rsid w:val="000E23B1"/>
    <w:rsid w:val="000E5B4A"/>
    <w:rsid w:val="000F2C85"/>
    <w:rsid w:val="00106132"/>
    <w:rsid w:val="001205D3"/>
    <w:rsid w:val="001344EA"/>
    <w:rsid w:val="00166488"/>
    <w:rsid w:val="00181B01"/>
    <w:rsid w:val="001A1447"/>
    <w:rsid w:val="001D6F5E"/>
    <w:rsid w:val="002004FC"/>
    <w:rsid w:val="00242986"/>
    <w:rsid w:val="002608F0"/>
    <w:rsid w:val="0026513B"/>
    <w:rsid w:val="0028429C"/>
    <w:rsid w:val="00290D31"/>
    <w:rsid w:val="002C06C6"/>
    <w:rsid w:val="002D3116"/>
    <w:rsid w:val="002E1FD6"/>
    <w:rsid w:val="002E7A1C"/>
    <w:rsid w:val="002F16C4"/>
    <w:rsid w:val="002F2FDB"/>
    <w:rsid w:val="002F33D7"/>
    <w:rsid w:val="003003A3"/>
    <w:rsid w:val="00302520"/>
    <w:rsid w:val="00313DC0"/>
    <w:rsid w:val="00347753"/>
    <w:rsid w:val="00361ADA"/>
    <w:rsid w:val="00375931"/>
    <w:rsid w:val="00391054"/>
    <w:rsid w:val="00392667"/>
    <w:rsid w:val="003B614B"/>
    <w:rsid w:val="003F4108"/>
    <w:rsid w:val="004145E1"/>
    <w:rsid w:val="00425959"/>
    <w:rsid w:val="004434B1"/>
    <w:rsid w:val="00446CBD"/>
    <w:rsid w:val="00455B2C"/>
    <w:rsid w:val="00460A6B"/>
    <w:rsid w:val="00471F26"/>
    <w:rsid w:val="0047344B"/>
    <w:rsid w:val="004B1E0C"/>
    <w:rsid w:val="004E6656"/>
    <w:rsid w:val="005350B2"/>
    <w:rsid w:val="005374F0"/>
    <w:rsid w:val="00544702"/>
    <w:rsid w:val="00552844"/>
    <w:rsid w:val="00557FB1"/>
    <w:rsid w:val="00595450"/>
    <w:rsid w:val="00595F22"/>
    <w:rsid w:val="005B4C5B"/>
    <w:rsid w:val="005D6F8D"/>
    <w:rsid w:val="005E2EFD"/>
    <w:rsid w:val="005E4847"/>
    <w:rsid w:val="00603158"/>
    <w:rsid w:val="0060780C"/>
    <w:rsid w:val="00625984"/>
    <w:rsid w:val="00651FCC"/>
    <w:rsid w:val="00671CBE"/>
    <w:rsid w:val="00676F4D"/>
    <w:rsid w:val="00680BAF"/>
    <w:rsid w:val="006A5712"/>
    <w:rsid w:val="006B58F0"/>
    <w:rsid w:val="00715EE0"/>
    <w:rsid w:val="00727516"/>
    <w:rsid w:val="0076087A"/>
    <w:rsid w:val="007642FC"/>
    <w:rsid w:val="00797E15"/>
    <w:rsid w:val="007A3F34"/>
    <w:rsid w:val="007A451F"/>
    <w:rsid w:val="007B10BC"/>
    <w:rsid w:val="007B67A1"/>
    <w:rsid w:val="007B7B92"/>
    <w:rsid w:val="007C547D"/>
    <w:rsid w:val="007C72EF"/>
    <w:rsid w:val="007D30FE"/>
    <w:rsid w:val="007D5278"/>
    <w:rsid w:val="0081137D"/>
    <w:rsid w:val="0083105C"/>
    <w:rsid w:val="008430DB"/>
    <w:rsid w:val="00847E9B"/>
    <w:rsid w:val="00851642"/>
    <w:rsid w:val="0085493F"/>
    <w:rsid w:val="00860B5B"/>
    <w:rsid w:val="00871658"/>
    <w:rsid w:val="008722EE"/>
    <w:rsid w:val="008A7295"/>
    <w:rsid w:val="008B5511"/>
    <w:rsid w:val="008B71EB"/>
    <w:rsid w:val="008C40E3"/>
    <w:rsid w:val="008C70C9"/>
    <w:rsid w:val="008D6F9D"/>
    <w:rsid w:val="008D7D63"/>
    <w:rsid w:val="008E6233"/>
    <w:rsid w:val="008E7DE2"/>
    <w:rsid w:val="0090147C"/>
    <w:rsid w:val="009030F1"/>
    <w:rsid w:val="009104BB"/>
    <w:rsid w:val="0094051B"/>
    <w:rsid w:val="009762F6"/>
    <w:rsid w:val="009A41C4"/>
    <w:rsid w:val="009C2F75"/>
    <w:rsid w:val="009C7DDE"/>
    <w:rsid w:val="009E34B9"/>
    <w:rsid w:val="009F6073"/>
    <w:rsid w:val="00A120D9"/>
    <w:rsid w:val="00A1441D"/>
    <w:rsid w:val="00A16FB6"/>
    <w:rsid w:val="00A20ED3"/>
    <w:rsid w:val="00A26960"/>
    <w:rsid w:val="00A27B20"/>
    <w:rsid w:val="00A63C3F"/>
    <w:rsid w:val="00A80EBE"/>
    <w:rsid w:val="00A82B95"/>
    <w:rsid w:val="00A905F6"/>
    <w:rsid w:val="00A92F74"/>
    <w:rsid w:val="00A954F8"/>
    <w:rsid w:val="00AB1778"/>
    <w:rsid w:val="00AD166A"/>
    <w:rsid w:val="00AD5971"/>
    <w:rsid w:val="00AE3148"/>
    <w:rsid w:val="00B22CF6"/>
    <w:rsid w:val="00B25BA8"/>
    <w:rsid w:val="00B2705D"/>
    <w:rsid w:val="00B37395"/>
    <w:rsid w:val="00B4445C"/>
    <w:rsid w:val="00B47DD5"/>
    <w:rsid w:val="00B74C20"/>
    <w:rsid w:val="00B77336"/>
    <w:rsid w:val="00B90F22"/>
    <w:rsid w:val="00B967C7"/>
    <w:rsid w:val="00BA0DDB"/>
    <w:rsid w:val="00BA2820"/>
    <w:rsid w:val="00BB007E"/>
    <w:rsid w:val="00BC632A"/>
    <w:rsid w:val="00BC6A2F"/>
    <w:rsid w:val="00BD282A"/>
    <w:rsid w:val="00BE0D9D"/>
    <w:rsid w:val="00BE3512"/>
    <w:rsid w:val="00BF4819"/>
    <w:rsid w:val="00C00110"/>
    <w:rsid w:val="00C06B7A"/>
    <w:rsid w:val="00C21E44"/>
    <w:rsid w:val="00C3458E"/>
    <w:rsid w:val="00C412E9"/>
    <w:rsid w:val="00C4680D"/>
    <w:rsid w:val="00C4773F"/>
    <w:rsid w:val="00C5079E"/>
    <w:rsid w:val="00C55CFB"/>
    <w:rsid w:val="00C7082B"/>
    <w:rsid w:val="00CC14EF"/>
    <w:rsid w:val="00CF2D05"/>
    <w:rsid w:val="00D20D17"/>
    <w:rsid w:val="00D25219"/>
    <w:rsid w:val="00D34012"/>
    <w:rsid w:val="00D5534A"/>
    <w:rsid w:val="00D65D94"/>
    <w:rsid w:val="00D75A62"/>
    <w:rsid w:val="00D872E4"/>
    <w:rsid w:val="00DA4EFD"/>
    <w:rsid w:val="00DD28EE"/>
    <w:rsid w:val="00DD4495"/>
    <w:rsid w:val="00DE23CC"/>
    <w:rsid w:val="00DE305A"/>
    <w:rsid w:val="00DF29C0"/>
    <w:rsid w:val="00E15588"/>
    <w:rsid w:val="00E155AF"/>
    <w:rsid w:val="00E51336"/>
    <w:rsid w:val="00E61D71"/>
    <w:rsid w:val="00E62F90"/>
    <w:rsid w:val="00E6530D"/>
    <w:rsid w:val="00E71202"/>
    <w:rsid w:val="00EA3F12"/>
    <w:rsid w:val="00EA4289"/>
    <w:rsid w:val="00EA5245"/>
    <w:rsid w:val="00EF05ED"/>
    <w:rsid w:val="00EF1E52"/>
    <w:rsid w:val="00F0040D"/>
    <w:rsid w:val="00F138F2"/>
    <w:rsid w:val="00F22780"/>
    <w:rsid w:val="00F84A63"/>
    <w:rsid w:val="00F85541"/>
    <w:rsid w:val="00F95855"/>
    <w:rsid w:val="00FA5742"/>
    <w:rsid w:val="00FA6389"/>
    <w:rsid w:val="00FB0663"/>
    <w:rsid w:val="00FB782A"/>
    <w:rsid w:val="00FC004A"/>
    <w:rsid w:val="00FC0ED4"/>
    <w:rsid w:val="00FE6334"/>
    <w:rsid w:val="00FF207E"/>
    <w:rsid w:val="02557C28"/>
    <w:rsid w:val="05C34814"/>
    <w:rsid w:val="18A75B53"/>
    <w:rsid w:val="1D001979"/>
    <w:rsid w:val="1F082F3B"/>
    <w:rsid w:val="27587BA4"/>
    <w:rsid w:val="311466F0"/>
    <w:rsid w:val="32F03CF7"/>
    <w:rsid w:val="3E8C46A4"/>
    <w:rsid w:val="40AF2B8C"/>
    <w:rsid w:val="439A7786"/>
    <w:rsid w:val="4C45005F"/>
    <w:rsid w:val="4F8F003C"/>
    <w:rsid w:val="5316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2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sz w:val="20"/>
      <w:szCs w:val="20"/>
    </w:rPr>
  </w:style>
  <w:style w:type="character" w:styleId="9">
    <w:name w:val="FollowedHyperlink"/>
    <w:basedOn w:val="7"/>
    <w:semiHidden/>
    <w:unhideWhenUsed/>
    <w:uiPriority w:val="99"/>
    <w:rPr>
      <w:color w:val="337AB7"/>
      <w:u w:val="none"/>
    </w:rPr>
  </w:style>
  <w:style w:type="character" w:styleId="10">
    <w:name w:val="Emphasis"/>
    <w:basedOn w:val="7"/>
    <w:qFormat/>
    <w:uiPriority w:val="20"/>
  </w:style>
  <w:style w:type="character" w:styleId="11">
    <w:name w:val="HTML Definition"/>
    <w:basedOn w:val="7"/>
    <w:semiHidden/>
    <w:unhideWhenUsed/>
    <w:uiPriority w:val="99"/>
  </w:style>
  <w:style w:type="character" w:styleId="12">
    <w:name w:val="HTML Acronym"/>
    <w:basedOn w:val="7"/>
    <w:semiHidden/>
    <w:unhideWhenUsed/>
    <w:qFormat/>
    <w:uiPriority w:val="99"/>
  </w:style>
  <w:style w:type="character" w:styleId="13">
    <w:name w:val="HTML Variable"/>
    <w:basedOn w:val="7"/>
    <w:semiHidden/>
    <w:unhideWhenUsed/>
    <w:qFormat/>
    <w:uiPriority w:val="99"/>
  </w:style>
  <w:style w:type="character" w:styleId="14">
    <w:name w:val="Hyperlink"/>
    <w:basedOn w:val="7"/>
    <w:semiHidden/>
    <w:unhideWhenUsed/>
    <w:qFormat/>
    <w:uiPriority w:val="99"/>
    <w:rPr>
      <w:color w:val="337AB7"/>
      <w:u w:val="none"/>
    </w:rPr>
  </w:style>
  <w:style w:type="character" w:styleId="15">
    <w:name w:val="HTML Code"/>
    <w:basedOn w:val="7"/>
    <w:semiHidden/>
    <w:unhideWhenUsed/>
    <w:qFormat/>
    <w:uiPriority w:val="99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6">
    <w:name w:val="HTML Cite"/>
    <w:basedOn w:val="7"/>
    <w:semiHidden/>
    <w:unhideWhenUsed/>
    <w:qFormat/>
    <w:uiPriority w:val="99"/>
  </w:style>
  <w:style w:type="character" w:styleId="17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8">
    <w:name w:val="HTML Sample"/>
    <w:basedOn w:val="7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customStyle="1" w:styleId="1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on"/>
    <w:basedOn w:val="7"/>
    <w:qFormat/>
    <w:uiPriority w:val="0"/>
  </w:style>
  <w:style w:type="character" w:customStyle="1" w:styleId="23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24">
    <w:name w:val="org"/>
    <w:basedOn w:val="7"/>
    <w:qFormat/>
    <w:uiPriority w:val="0"/>
    <w:rPr>
      <w:bdr w:val="single" w:color="EE9B14" w:sz="6" w:space="0"/>
      <w:shd w:val="clear" w:color="auto" w:fill="EE9B14"/>
    </w:rPr>
  </w:style>
  <w:style w:type="character" w:customStyle="1" w:styleId="25">
    <w:name w:val="ico0"/>
    <w:basedOn w:val="7"/>
    <w:qFormat/>
    <w:uiPriority w:val="0"/>
  </w:style>
  <w:style w:type="character" w:customStyle="1" w:styleId="26">
    <w:name w:val="ico1"/>
    <w:basedOn w:val="7"/>
    <w:qFormat/>
    <w:uiPriority w:val="0"/>
  </w:style>
  <w:style w:type="character" w:customStyle="1" w:styleId="27">
    <w:name w:val="ico2"/>
    <w:basedOn w:val="7"/>
    <w:qFormat/>
    <w:uiPriority w:val="0"/>
  </w:style>
  <w:style w:type="character" w:customStyle="1" w:styleId="28">
    <w:name w:val="ico3"/>
    <w:basedOn w:val="7"/>
    <w:qFormat/>
    <w:uiPriority w:val="0"/>
  </w:style>
  <w:style w:type="character" w:customStyle="1" w:styleId="29">
    <w:name w:val="ico4"/>
    <w:basedOn w:val="7"/>
    <w:qFormat/>
    <w:uiPriority w:val="0"/>
  </w:style>
  <w:style w:type="character" w:customStyle="1" w:styleId="30">
    <w:name w:val="t-name"/>
    <w:basedOn w:val="7"/>
    <w:qFormat/>
    <w:uiPriority w:val="0"/>
    <w:rPr>
      <w:b/>
      <w:color w:val="FFFFFF"/>
      <w:sz w:val="27"/>
      <w:szCs w:val="27"/>
      <w:shd w:val="clear" w:color="auto" w:fill="FDAD3C"/>
    </w:rPr>
  </w:style>
  <w:style w:type="character" w:customStyle="1" w:styleId="31">
    <w:name w:val="time3"/>
    <w:basedOn w:val="7"/>
    <w:qFormat/>
    <w:uiPriority w:val="0"/>
  </w:style>
  <w:style w:type="character" w:customStyle="1" w:styleId="32">
    <w:name w:val="tag"/>
    <w:basedOn w:val="7"/>
    <w:qFormat/>
    <w:uiPriority w:val="0"/>
    <w:rPr>
      <w:color w:val="FFFFFF"/>
      <w:sz w:val="21"/>
      <w:szCs w:val="21"/>
      <w:shd w:val="clear" w:color="auto" w:fill="FFCD1A"/>
    </w:rPr>
  </w:style>
  <w:style w:type="character" w:customStyle="1" w:styleId="33">
    <w:name w:val="progressline"/>
    <w:basedOn w:val="7"/>
    <w:qFormat/>
    <w:uiPriority w:val="0"/>
  </w:style>
  <w:style w:type="character" w:customStyle="1" w:styleId="34">
    <w:name w:val="tq-qw"/>
    <w:basedOn w:val="7"/>
    <w:qFormat/>
    <w:uiPriority w:val="0"/>
  </w:style>
  <w:style w:type="character" w:customStyle="1" w:styleId="35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36">
    <w:name w:val="img6"/>
    <w:basedOn w:val="7"/>
    <w:qFormat/>
    <w:uiPriority w:val="0"/>
  </w:style>
  <w:style w:type="character" w:customStyle="1" w:styleId="37">
    <w:name w:val="img7"/>
    <w:basedOn w:val="7"/>
    <w:qFormat/>
    <w:uiPriority w:val="0"/>
  </w:style>
  <w:style w:type="character" w:customStyle="1" w:styleId="38">
    <w:name w:val="txt18"/>
    <w:basedOn w:val="7"/>
    <w:qFormat/>
    <w:uiPriority w:val="0"/>
  </w:style>
  <w:style w:type="character" w:customStyle="1" w:styleId="39">
    <w:name w:val="q-ico"/>
    <w:basedOn w:val="7"/>
    <w:qFormat/>
    <w:uiPriority w:val="0"/>
  </w:style>
  <w:style w:type="character" w:customStyle="1" w:styleId="40">
    <w:name w:val="a-ico"/>
    <w:basedOn w:val="7"/>
    <w:qFormat/>
    <w:uiPriority w:val="0"/>
  </w:style>
  <w:style w:type="character" w:customStyle="1" w:styleId="41">
    <w:name w:val="ico41"/>
    <w:basedOn w:val="7"/>
    <w:qFormat/>
    <w:uiPriority w:val="0"/>
  </w:style>
  <w:style w:type="character" w:customStyle="1" w:styleId="42">
    <w:name w:val="on1"/>
    <w:basedOn w:val="7"/>
    <w:qFormat/>
    <w:uiPriority w:val="0"/>
  </w:style>
  <w:style w:type="character" w:customStyle="1" w:styleId="43">
    <w:name w:val="ico01"/>
    <w:basedOn w:val="7"/>
    <w:qFormat/>
    <w:uiPriority w:val="0"/>
  </w:style>
  <w:style w:type="character" w:customStyle="1" w:styleId="44">
    <w:name w:val="ico23"/>
    <w:basedOn w:val="7"/>
    <w:qFormat/>
    <w:uiPriority w:val="0"/>
  </w:style>
  <w:style w:type="character" w:customStyle="1" w:styleId="45">
    <w:name w:val="ico31"/>
    <w:basedOn w:val="7"/>
    <w:qFormat/>
    <w:uiPriority w:val="0"/>
  </w:style>
  <w:style w:type="character" w:customStyle="1" w:styleId="46">
    <w:name w:val="img5"/>
    <w:basedOn w:val="7"/>
    <w:qFormat/>
    <w:uiPriority w:val="0"/>
  </w:style>
  <w:style w:type="character" w:customStyle="1" w:styleId="47">
    <w:name w:val="txt16"/>
    <w:basedOn w:val="7"/>
    <w:qFormat/>
    <w:uiPriority w:val="0"/>
  </w:style>
  <w:style w:type="character" w:customStyle="1" w:styleId="48">
    <w:name w:val="txt19"/>
    <w:basedOn w:val="7"/>
    <w:qFormat/>
    <w:uiPriority w:val="0"/>
  </w:style>
  <w:style w:type="character" w:customStyle="1" w:styleId="49">
    <w:name w:val="img8"/>
    <w:basedOn w:val="7"/>
    <w:qFormat/>
    <w:uiPriority w:val="0"/>
  </w:style>
  <w:style w:type="character" w:customStyle="1" w:styleId="50">
    <w:name w:val="ico13"/>
    <w:basedOn w:val="7"/>
    <w:qFormat/>
    <w:uiPriority w:val="0"/>
  </w:style>
  <w:style w:type="character" w:customStyle="1" w:styleId="51">
    <w:name w:val="ico33"/>
    <w:basedOn w:val="7"/>
    <w:qFormat/>
    <w:uiPriority w:val="0"/>
  </w:style>
  <w:style w:type="character" w:customStyle="1" w:styleId="52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2"/>
    <customShpInfo spid="_x0000_s2053"/>
    <customShpInfo spid="_x0000_s2054"/>
    <customShpInfo spid="_x0000_s2055"/>
    <customShpInfo spid="_x0000_s205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4DEB88-7C8B-4C3B-BFBF-9A4CFB10F0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12</Pages>
  <Words>633</Words>
  <Characters>3611</Characters>
  <Lines>30</Lines>
  <Paragraphs>8</Paragraphs>
  <TotalTime>0</TotalTime>
  <ScaleCrop>false</ScaleCrop>
  <LinksUpToDate>false</LinksUpToDate>
  <CharactersWithSpaces>4236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2021-02-19T06:37:00Z</dcterms:created>
  <dc:creator>林菁</dc:creator>
  <cp:lastModifiedBy>王博</cp:lastModifiedBy>
  <cp:lastPrinted>2021-02-19T06:52:00Z</cp:lastPrinted>
  <dcterms:modified xsi:type="dcterms:W3CDTF">2021-09-07T04:06:14Z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